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CE" w:rsidRPr="00F05876" w:rsidRDefault="005818CE" w:rsidP="005818CE">
      <w:pPr>
        <w:suppressAutoHyphens/>
        <w:autoSpaceDN w:val="0"/>
        <w:ind w:left="-284"/>
        <w:textAlignment w:val="baseline"/>
        <w:rPr>
          <w:rFonts w:ascii="Arial" w:hAnsi="Arial" w:cs="Arial"/>
          <w:b/>
        </w:rPr>
      </w:pPr>
      <w:r w:rsidRPr="00F05876">
        <w:rPr>
          <w:rFonts w:ascii="Arial" w:hAnsi="Arial" w:cs="Arial"/>
          <w:b/>
        </w:rPr>
        <w:t xml:space="preserve">Croydon </w:t>
      </w:r>
      <w:proofErr w:type="spellStart"/>
      <w:r w:rsidRPr="00F05876">
        <w:rPr>
          <w:rFonts w:ascii="Arial" w:hAnsi="Arial" w:cs="Arial"/>
          <w:b/>
        </w:rPr>
        <w:t>Payscales</w:t>
      </w:r>
      <w:proofErr w:type="spellEnd"/>
    </w:p>
    <w:p w:rsidR="005818CE" w:rsidRPr="00F05876" w:rsidRDefault="005818CE" w:rsidP="005818CE">
      <w:pPr>
        <w:suppressAutoHyphens/>
        <w:autoSpaceDN w:val="0"/>
        <w:ind w:left="-284"/>
        <w:textAlignment w:val="baseline"/>
        <w:rPr>
          <w:rFonts w:ascii="Arial" w:hAnsi="Arial" w:cs="Arial"/>
          <w:b/>
        </w:rPr>
      </w:pPr>
    </w:p>
    <w:p w:rsidR="005818CE" w:rsidRPr="00F05876" w:rsidRDefault="005818CE" w:rsidP="005818CE">
      <w:pPr>
        <w:suppressAutoHyphens/>
        <w:autoSpaceDN w:val="0"/>
        <w:ind w:left="-284"/>
        <w:textAlignment w:val="baseline"/>
        <w:rPr>
          <w:rFonts w:ascii="Arial" w:hAnsi="Arial" w:cs="Arial"/>
        </w:rPr>
      </w:pPr>
      <w:r w:rsidRPr="00F05876">
        <w:rPr>
          <w:rFonts w:ascii="Arial" w:hAnsi="Arial" w:cs="Arial"/>
        </w:rPr>
        <w:t xml:space="preserve">Croydon is recommending </w:t>
      </w:r>
      <w:proofErr w:type="spellStart"/>
      <w:r w:rsidRPr="00F05876">
        <w:rPr>
          <w:rFonts w:ascii="Arial" w:hAnsi="Arial" w:cs="Arial"/>
        </w:rPr>
        <w:t>payscales</w:t>
      </w:r>
      <w:proofErr w:type="spellEnd"/>
      <w:r w:rsidRPr="00F05876">
        <w:rPr>
          <w:rFonts w:ascii="Arial" w:hAnsi="Arial" w:cs="Arial"/>
        </w:rPr>
        <w:t xml:space="preserve"> based on the Outer London Area pay reference points produced by the LGA.</w:t>
      </w:r>
    </w:p>
    <w:p w:rsidR="005818CE" w:rsidRPr="00F05876" w:rsidRDefault="005818CE" w:rsidP="005818CE">
      <w:pPr>
        <w:suppressAutoHyphens/>
        <w:autoSpaceDN w:val="0"/>
        <w:ind w:left="-284"/>
        <w:textAlignment w:val="baseline"/>
        <w:rPr>
          <w:rFonts w:ascii="Arial" w:hAnsi="Arial" w:cs="Arial"/>
          <w:color w:val="FF0000"/>
        </w:rPr>
      </w:pPr>
    </w:p>
    <w:p w:rsidR="005818CE" w:rsidRPr="00F05876" w:rsidRDefault="005818CE" w:rsidP="005818CE">
      <w:pPr>
        <w:suppressAutoHyphens/>
        <w:autoSpaceDN w:val="0"/>
        <w:ind w:left="-284"/>
        <w:textAlignment w:val="baseline"/>
        <w:rPr>
          <w:rFonts w:ascii="Arial" w:hAnsi="Arial" w:cs="Arial"/>
          <w:color w:val="FF0000"/>
        </w:rPr>
      </w:pPr>
      <w:r w:rsidRPr="00F05876">
        <w:rPr>
          <w:rFonts w:ascii="Arial" w:hAnsi="Arial" w:cs="Arial"/>
          <w:color w:val="FF0000"/>
        </w:rPr>
        <w:t>Schools that choose not to adopt these pay scales must ensure that the minimum and maximum of their pay scales are those shown in STPCD for both the leadership group and for the pay ranges for teachers.</w:t>
      </w:r>
    </w:p>
    <w:p w:rsidR="005818CE" w:rsidRPr="00F05876" w:rsidRDefault="005818CE" w:rsidP="005818CE">
      <w:pPr>
        <w:suppressAutoHyphens/>
        <w:autoSpaceDN w:val="0"/>
        <w:jc w:val="center"/>
        <w:textAlignment w:val="baseline"/>
        <w:rPr>
          <w:rFonts w:ascii="Arial" w:hAnsi="Arial" w:cs="Arial"/>
          <w:b/>
          <w:bCs/>
          <w:color w:val="000000"/>
          <w:u w:val="single"/>
          <w:lang w:val="en-US" w:eastAsia="en-US"/>
        </w:rPr>
      </w:pPr>
      <w:r w:rsidRPr="00F05876">
        <w:rPr>
          <w:rFonts w:ascii="Arial" w:hAnsi="Arial" w:cs="Arial"/>
          <w:b/>
          <w:bCs/>
          <w:color w:val="000000"/>
          <w:u w:val="single"/>
          <w:lang w:val="en-US" w:eastAsia="en-US"/>
        </w:rPr>
        <w:t xml:space="preserve">OUTER LONDON AREA PAY REFERENCE POINTS </w:t>
      </w:r>
    </w:p>
    <w:p w:rsidR="005818CE" w:rsidRPr="00F05876" w:rsidRDefault="005818CE" w:rsidP="005818CE">
      <w:pPr>
        <w:suppressAutoHyphens/>
        <w:autoSpaceDN w:val="0"/>
        <w:jc w:val="center"/>
        <w:textAlignment w:val="baseline"/>
        <w:rPr>
          <w:rFonts w:ascii="Calibri" w:eastAsia="Calibri" w:hAnsi="Calibri"/>
          <w:sz w:val="22"/>
          <w:szCs w:val="22"/>
          <w:lang w:eastAsia="en-US"/>
        </w:rPr>
      </w:pPr>
      <w:r w:rsidRPr="00F05876">
        <w:rPr>
          <w:rFonts w:ascii="Arial" w:hAnsi="Arial" w:cs="Arial"/>
          <w:b/>
          <w:bCs/>
          <w:color w:val="000000"/>
          <w:u w:val="single"/>
          <w:lang w:val="en-US" w:eastAsia="en-US"/>
        </w:rPr>
        <w:t xml:space="preserve">FOR TEACHERS – Sept 2015 </w:t>
      </w:r>
    </w:p>
    <w:p w:rsidR="005818CE" w:rsidRDefault="005818CE" w:rsidP="005818CE">
      <w:pPr>
        <w:suppressAutoHyphens/>
        <w:autoSpaceDN w:val="0"/>
        <w:textAlignment w:val="baseline"/>
        <w:rPr>
          <w:rFonts w:ascii="Arial" w:hAnsi="Arial" w:cs="Arial"/>
          <w:b/>
          <w:szCs w:val="20"/>
          <w:u w:val="single"/>
          <w:lang w:val="en-US" w:eastAsia="en-US"/>
        </w:rPr>
      </w:pPr>
      <w:r w:rsidRPr="00F05876">
        <w:rPr>
          <w:rFonts w:ascii="Arial" w:hAnsi="Arial" w:cs="Arial"/>
          <w:b/>
          <w:szCs w:val="20"/>
          <w:u w:val="single"/>
          <w:lang w:val="en-US" w:eastAsia="en-US"/>
        </w:rPr>
        <w:t>Unqualified Pay</w:t>
      </w:r>
    </w:p>
    <w:p w:rsidR="005818CE" w:rsidRPr="00F05876" w:rsidRDefault="005818CE" w:rsidP="005818CE">
      <w:pPr>
        <w:suppressAutoHyphens/>
        <w:autoSpaceDN w:val="0"/>
        <w:textAlignment w:val="baseline"/>
        <w:rPr>
          <w:rFonts w:ascii="Arial" w:hAnsi="Arial" w:cs="Arial"/>
          <w:b/>
          <w:szCs w:val="20"/>
          <w:u w:val="single"/>
          <w:lang w:val="en-US" w:eastAsia="en-US"/>
        </w:rPr>
      </w:pPr>
    </w:p>
    <w:tbl>
      <w:tblPr>
        <w:tblW w:w="8652" w:type="dxa"/>
        <w:tblLayout w:type="fixed"/>
        <w:tblCellMar>
          <w:left w:w="10" w:type="dxa"/>
          <w:right w:w="10" w:type="dxa"/>
        </w:tblCellMar>
        <w:tblLook w:val="04A0" w:firstRow="1" w:lastRow="0" w:firstColumn="1" w:lastColumn="0" w:noHBand="0" w:noVBand="1"/>
      </w:tblPr>
      <w:tblGrid>
        <w:gridCol w:w="3691"/>
        <w:gridCol w:w="2244"/>
        <w:gridCol w:w="2717"/>
      </w:tblGrid>
      <w:tr w:rsidR="005818CE" w:rsidRPr="00F05876" w:rsidTr="00016259">
        <w:tblPrEx>
          <w:tblCellMar>
            <w:top w:w="0" w:type="dxa"/>
            <w:bottom w:w="0" w:type="dxa"/>
          </w:tblCellMar>
        </w:tblPrEx>
        <w:trPr>
          <w:trHeight w:val="481"/>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Unqualified Teacher</w:t>
            </w:r>
          </w:p>
          <w:p w:rsidR="005818CE" w:rsidRPr="00F05876" w:rsidRDefault="005818CE" w:rsidP="00016259">
            <w:pPr>
              <w:suppressAutoHyphens/>
              <w:autoSpaceDE w:val="0"/>
              <w:autoSpaceDN w:val="0"/>
              <w:jc w:val="center"/>
              <w:textAlignment w:val="baseline"/>
              <w:rPr>
                <w:rFonts w:ascii="Arial" w:hAnsi="Arial" w:cs="Arial"/>
                <w:b/>
                <w:bCs/>
                <w:color w:val="000000"/>
                <w:lang w:val="en-US" w:eastAsia="en-US"/>
              </w:rPr>
            </w:pPr>
            <w:r w:rsidRPr="00F05876">
              <w:rPr>
                <w:rFonts w:ascii="Arial" w:hAnsi="Arial" w:cs="Arial"/>
                <w:b/>
                <w:bCs/>
                <w:color w:val="000000"/>
                <w:lang w:val="en-US" w:eastAsia="en-US"/>
              </w:rPr>
              <w:t>Pay Reference Points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2014</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Uprated</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2015</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19,167</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19,359</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21,044</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21,256</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22,922</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23,152</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24,801</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25,050</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26,676</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26,944</w:t>
            </w:r>
          </w:p>
        </w:tc>
      </w:tr>
      <w:tr w:rsidR="005818CE" w:rsidRPr="00F05876" w:rsidTr="00016259">
        <w:tblPrEx>
          <w:tblCellMar>
            <w:top w:w="0" w:type="dxa"/>
            <w:bottom w:w="0" w:type="dxa"/>
          </w:tblCellMar>
        </w:tblPrEx>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6</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28,555</w:t>
            </w:r>
          </w:p>
        </w:tc>
        <w:tc>
          <w:tcPr>
            <w:tcW w:w="271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28,841</w:t>
            </w:r>
          </w:p>
        </w:tc>
      </w:tr>
    </w:tbl>
    <w:p w:rsidR="005818CE" w:rsidRPr="00F05876" w:rsidRDefault="005818CE" w:rsidP="005818CE">
      <w:pPr>
        <w:widowControl w:val="0"/>
        <w:suppressAutoHyphens/>
        <w:autoSpaceDN w:val="0"/>
        <w:ind w:right="189"/>
        <w:jc w:val="both"/>
        <w:textAlignment w:val="baseline"/>
        <w:rPr>
          <w:rFonts w:ascii="Arial" w:eastAsia="Arial" w:hAnsi="Arial"/>
          <w:b/>
          <w:u w:val="single"/>
          <w:lang w:val="en-US" w:eastAsia="en-US"/>
        </w:rPr>
      </w:pPr>
    </w:p>
    <w:p w:rsidR="005818CE" w:rsidRDefault="005818CE" w:rsidP="005818CE">
      <w:pPr>
        <w:widowControl w:val="0"/>
        <w:suppressAutoHyphens/>
        <w:autoSpaceDN w:val="0"/>
        <w:ind w:right="189"/>
        <w:jc w:val="both"/>
        <w:textAlignment w:val="baseline"/>
        <w:rPr>
          <w:rFonts w:ascii="Arial" w:eastAsia="Arial" w:hAnsi="Arial"/>
          <w:b/>
          <w:u w:val="single"/>
          <w:lang w:val="en-US" w:eastAsia="en-US"/>
        </w:rPr>
      </w:pPr>
      <w:r w:rsidRPr="00F05876">
        <w:rPr>
          <w:rFonts w:ascii="Arial" w:eastAsia="Arial" w:hAnsi="Arial"/>
          <w:b/>
          <w:u w:val="single"/>
          <w:lang w:val="en-US" w:eastAsia="en-US"/>
        </w:rPr>
        <w:t>Main Pay</w:t>
      </w:r>
    </w:p>
    <w:p w:rsidR="005818CE" w:rsidRPr="00F05876" w:rsidRDefault="005818CE" w:rsidP="005818CE">
      <w:pPr>
        <w:widowControl w:val="0"/>
        <w:suppressAutoHyphens/>
        <w:autoSpaceDN w:val="0"/>
        <w:ind w:right="189"/>
        <w:jc w:val="both"/>
        <w:textAlignment w:val="baseline"/>
        <w:rPr>
          <w:rFonts w:ascii="Arial" w:eastAsia="Arial" w:hAnsi="Arial"/>
          <w:b/>
          <w:u w:val="single"/>
          <w:lang w:val="en-US" w:eastAsia="en-US"/>
        </w:rPr>
      </w:pPr>
    </w:p>
    <w:p w:rsidR="005818CE" w:rsidRPr="00F05876" w:rsidRDefault="005818CE" w:rsidP="005818CE">
      <w:pPr>
        <w:widowControl w:val="0"/>
        <w:suppressAutoHyphens/>
        <w:autoSpaceDN w:val="0"/>
        <w:ind w:right="189"/>
        <w:jc w:val="both"/>
        <w:textAlignment w:val="baseline"/>
        <w:rPr>
          <w:rFonts w:ascii="Arial" w:eastAsia="Arial" w:hAnsi="Arial"/>
          <w:lang w:val="en-US" w:eastAsia="en-US"/>
        </w:rPr>
      </w:pPr>
      <w:r w:rsidRPr="00F05876">
        <w:rPr>
          <w:rFonts w:ascii="Arial" w:eastAsia="Arial" w:hAnsi="Arial"/>
          <w:lang w:val="en-US" w:eastAsia="en-US"/>
        </w:rPr>
        <w:t>In September 2015 it was a statutory requirement to uplift the salary</w:t>
      </w:r>
      <w:r w:rsidRPr="00F05876">
        <w:rPr>
          <w:rFonts w:ascii="Arial" w:eastAsia="Arial" w:hAnsi="Arial"/>
          <w:spacing w:val="-21"/>
          <w:lang w:val="en-US" w:eastAsia="en-US"/>
        </w:rPr>
        <w:t xml:space="preserve"> </w:t>
      </w:r>
      <w:r w:rsidRPr="00F05876">
        <w:rPr>
          <w:rFonts w:ascii="Arial" w:eastAsia="Arial" w:hAnsi="Arial"/>
          <w:lang w:val="en-US" w:eastAsia="en-US"/>
        </w:rPr>
        <w:t>of teachers paid on the minima of the ranges by 1%, i.e. to ensure no teacher</w:t>
      </w:r>
      <w:r w:rsidRPr="00F05876">
        <w:rPr>
          <w:rFonts w:ascii="Arial" w:eastAsia="Arial" w:hAnsi="Arial"/>
          <w:spacing w:val="-25"/>
          <w:lang w:val="en-US" w:eastAsia="en-US"/>
        </w:rPr>
        <w:t xml:space="preserve"> </w:t>
      </w:r>
      <w:r w:rsidRPr="00F05876">
        <w:rPr>
          <w:rFonts w:ascii="Arial" w:eastAsia="Arial" w:hAnsi="Arial"/>
          <w:lang w:val="en-US" w:eastAsia="en-US"/>
        </w:rPr>
        <w:t>is paid below the national range. Other than this, whilst schools are not</w:t>
      </w:r>
      <w:r w:rsidRPr="00F05876">
        <w:rPr>
          <w:rFonts w:ascii="Arial" w:eastAsia="Arial" w:hAnsi="Arial"/>
          <w:spacing w:val="-23"/>
          <w:lang w:val="en-US" w:eastAsia="en-US"/>
        </w:rPr>
        <w:t xml:space="preserve"> </w:t>
      </w:r>
      <w:r w:rsidRPr="00F05876">
        <w:rPr>
          <w:rFonts w:ascii="Arial" w:eastAsia="Arial" w:hAnsi="Arial"/>
          <w:lang w:val="en-US" w:eastAsia="en-US"/>
        </w:rPr>
        <w:t>obliged to do so, they may decide to set their own pay points within a pay range</w:t>
      </w:r>
      <w:r w:rsidRPr="00F05876">
        <w:rPr>
          <w:rFonts w:ascii="Arial" w:eastAsia="Arial" w:hAnsi="Arial"/>
          <w:spacing w:val="-21"/>
          <w:lang w:val="en-US" w:eastAsia="en-US"/>
        </w:rPr>
        <w:t xml:space="preserve"> </w:t>
      </w:r>
      <w:r w:rsidRPr="00F05876">
        <w:rPr>
          <w:rFonts w:ascii="Arial" w:eastAsia="Arial" w:hAnsi="Arial"/>
          <w:lang w:val="en-US" w:eastAsia="en-US"/>
        </w:rPr>
        <w:t>in their local policies, if they judge it appropriate to their needs. One option is</w:t>
      </w:r>
      <w:r w:rsidRPr="00F05876">
        <w:rPr>
          <w:rFonts w:ascii="Arial" w:eastAsia="Arial" w:hAnsi="Arial"/>
          <w:spacing w:val="-25"/>
          <w:lang w:val="en-US" w:eastAsia="en-US"/>
        </w:rPr>
        <w:t xml:space="preserve"> </w:t>
      </w:r>
      <w:r w:rsidRPr="00F05876">
        <w:rPr>
          <w:rFonts w:ascii="Arial" w:eastAsia="Arial" w:hAnsi="Arial"/>
          <w:lang w:val="en-US" w:eastAsia="en-US"/>
        </w:rPr>
        <w:t>to continue to use the previous pay scale points (uprated as appropriate) as</w:t>
      </w:r>
      <w:r w:rsidRPr="00F05876">
        <w:rPr>
          <w:rFonts w:ascii="Arial" w:eastAsia="Arial" w:hAnsi="Arial"/>
          <w:spacing w:val="-27"/>
          <w:lang w:val="en-US" w:eastAsia="en-US"/>
        </w:rPr>
        <w:t xml:space="preserve"> </w:t>
      </w:r>
      <w:r w:rsidRPr="00F05876">
        <w:rPr>
          <w:rFonts w:ascii="Arial" w:eastAsia="Arial" w:hAnsi="Arial"/>
          <w:lang w:val="en-US" w:eastAsia="en-US"/>
        </w:rPr>
        <w:t>the basis for an annual pay award. The LGA has produced such points, and in Croydon, we have recommended that a 2% pay award is applied to M6.</w:t>
      </w:r>
    </w:p>
    <w:p w:rsidR="005818CE" w:rsidRPr="00F05876" w:rsidRDefault="005818CE" w:rsidP="005818CE">
      <w:pPr>
        <w:widowControl w:val="0"/>
        <w:suppressAutoHyphens/>
        <w:autoSpaceDN w:val="0"/>
        <w:ind w:left="120" w:right="189"/>
        <w:textAlignment w:val="baseline"/>
        <w:rPr>
          <w:rFonts w:ascii="Arial" w:eastAsia="Arial" w:hAnsi="Arial"/>
          <w:lang w:val="en-US" w:eastAsia="en-US"/>
        </w:rPr>
      </w:pPr>
    </w:p>
    <w:tbl>
      <w:tblPr>
        <w:tblW w:w="8505" w:type="dxa"/>
        <w:tblLayout w:type="fixed"/>
        <w:tblCellMar>
          <w:left w:w="10" w:type="dxa"/>
          <w:right w:w="10" w:type="dxa"/>
        </w:tblCellMar>
        <w:tblLook w:val="04A0" w:firstRow="1" w:lastRow="0" w:firstColumn="1" w:lastColumn="0" w:noHBand="0" w:noVBand="1"/>
      </w:tblPr>
      <w:tblGrid>
        <w:gridCol w:w="3685"/>
        <w:gridCol w:w="2268"/>
        <w:gridCol w:w="2552"/>
      </w:tblGrid>
      <w:tr w:rsidR="005818CE" w:rsidRPr="00F05876" w:rsidTr="00016259">
        <w:tblPrEx>
          <w:tblCellMar>
            <w:top w:w="0" w:type="dxa"/>
            <w:bottom w:w="0" w:type="dxa"/>
          </w:tblCellMar>
        </w:tblPrEx>
        <w:trPr>
          <w:trHeight w:val="699"/>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b/>
                <w:bCs/>
              </w:rPr>
            </w:pPr>
            <w:r w:rsidRPr="00F05876">
              <w:rPr>
                <w:rFonts w:ascii="Arial" w:hAnsi="Arial" w:cs="Arial"/>
                <w:b/>
                <w:bCs/>
              </w:rPr>
              <w:t>Main Pay Reference Points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lang w:val="en-US" w:eastAsia="en-US"/>
              </w:rPr>
              <w:t>2014</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lang w:val="en-US"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lang w:val="en-US" w:eastAsia="en-US"/>
              </w:rPr>
              <w:t>Uprated</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lang w:val="en-US" w:eastAsia="en-US"/>
              </w:rPr>
              <w:t>2015</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lang w:val="en-US" w:eastAsia="en-US"/>
              </w:rPr>
              <w:t>£</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M1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25,623</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25,880</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27,211</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27,484</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M3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28,896</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29,185</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M4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30,685</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30,992</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M5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33,287</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33,620</w:t>
            </w:r>
          </w:p>
        </w:tc>
      </w:tr>
      <w:tr w:rsidR="005818CE" w:rsidRPr="00F05876" w:rsidTr="00016259">
        <w:tblPrEx>
          <w:tblCellMar>
            <w:top w:w="0" w:type="dxa"/>
            <w:bottom w:w="0" w:type="dxa"/>
          </w:tblCellMar>
        </w:tblPrEx>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rPr>
            </w:pPr>
            <w:r w:rsidRPr="00F05876">
              <w:rPr>
                <w:rFonts w:ascii="Arial" w:hAnsi="Arial" w:cs="Arial"/>
              </w:rPr>
              <w:t xml:space="preserve">M6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lang w:val="en-US" w:eastAsia="en-US"/>
              </w:rPr>
            </w:pPr>
            <w:r w:rsidRPr="00F05876">
              <w:rPr>
                <w:rFonts w:ascii="Arial" w:hAnsi="Arial" w:cs="Arial"/>
                <w:lang w:val="en-US" w:eastAsia="en-US"/>
              </w:rPr>
              <w:t>35,823</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lang w:val="en-US" w:eastAsia="en-US"/>
              </w:rPr>
            </w:pPr>
            <w:r w:rsidRPr="00F05876">
              <w:rPr>
                <w:rFonts w:ascii="Arial" w:hAnsi="Arial" w:cs="Arial"/>
                <w:lang w:val="en-US" w:eastAsia="en-US"/>
              </w:rPr>
              <w:t>36,540</w:t>
            </w:r>
          </w:p>
        </w:tc>
      </w:tr>
    </w:tbl>
    <w:p w:rsidR="005818CE" w:rsidRDefault="005818CE" w:rsidP="005818CE">
      <w:pPr>
        <w:widowControl w:val="0"/>
        <w:suppressAutoHyphens/>
        <w:autoSpaceDN w:val="0"/>
        <w:ind w:left="120" w:right="189"/>
        <w:textAlignment w:val="baseline"/>
        <w:rPr>
          <w:rFonts w:ascii="Arial" w:eastAsia="Arial" w:hAnsi="Arial"/>
          <w:lang w:val="en-US" w:eastAsia="en-US"/>
        </w:rPr>
      </w:pPr>
    </w:p>
    <w:p w:rsidR="005818CE" w:rsidRDefault="005818CE" w:rsidP="005818CE">
      <w:pPr>
        <w:widowControl w:val="0"/>
        <w:suppressAutoHyphens/>
        <w:autoSpaceDN w:val="0"/>
        <w:ind w:left="120" w:right="189"/>
        <w:textAlignment w:val="baseline"/>
        <w:rPr>
          <w:rFonts w:ascii="Arial" w:eastAsia="Arial" w:hAnsi="Arial"/>
          <w:lang w:val="en-US" w:eastAsia="en-US"/>
        </w:rPr>
      </w:pPr>
    </w:p>
    <w:p w:rsidR="005818CE" w:rsidRDefault="005818CE" w:rsidP="005818CE">
      <w:pPr>
        <w:widowControl w:val="0"/>
        <w:suppressAutoHyphens/>
        <w:autoSpaceDN w:val="0"/>
        <w:ind w:left="120" w:right="189"/>
        <w:textAlignment w:val="baseline"/>
        <w:rPr>
          <w:rFonts w:ascii="Arial" w:eastAsia="Arial" w:hAnsi="Arial"/>
          <w:lang w:val="en-US" w:eastAsia="en-US"/>
        </w:rPr>
      </w:pPr>
    </w:p>
    <w:p w:rsidR="005818CE" w:rsidRDefault="005818CE" w:rsidP="005818CE">
      <w:pPr>
        <w:widowControl w:val="0"/>
        <w:suppressAutoHyphens/>
        <w:autoSpaceDN w:val="0"/>
        <w:ind w:left="120" w:right="189"/>
        <w:textAlignment w:val="baseline"/>
        <w:rPr>
          <w:rFonts w:ascii="Arial" w:eastAsia="Arial" w:hAnsi="Arial"/>
          <w:lang w:val="en-US" w:eastAsia="en-US"/>
        </w:rPr>
      </w:pPr>
    </w:p>
    <w:p w:rsidR="005818CE" w:rsidRDefault="005818CE" w:rsidP="005818CE">
      <w:pPr>
        <w:widowControl w:val="0"/>
        <w:suppressAutoHyphens/>
        <w:autoSpaceDN w:val="0"/>
        <w:ind w:left="120" w:right="189"/>
        <w:textAlignment w:val="baseline"/>
        <w:rPr>
          <w:rFonts w:ascii="Arial" w:eastAsia="Arial" w:hAnsi="Arial"/>
          <w:lang w:val="en-US" w:eastAsia="en-US"/>
        </w:rPr>
      </w:pPr>
    </w:p>
    <w:p w:rsidR="005818CE" w:rsidRPr="00F05876" w:rsidRDefault="005818CE" w:rsidP="005818CE">
      <w:pPr>
        <w:widowControl w:val="0"/>
        <w:suppressAutoHyphens/>
        <w:autoSpaceDN w:val="0"/>
        <w:ind w:left="120" w:right="189"/>
        <w:textAlignment w:val="baseline"/>
        <w:rPr>
          <w:rFonts w:ascii="Arial" w:eastAsia="Arial" w:hAnsi="Arial"/>
          <w:lang w:val="en-US" w:eastAsia="en-US"/>
        </w:rPr>
      </w:pPr>
    </w:p>
    <w:p w:rsidR="005818CE" w:rsidRPr="00F05876" w:rsidRDefault="005818CE" w:rsidP="005818CE">
      <w:pPr>
        <w:suppressAutoHyphens/>
        <w:autoSpaceDN w:val="0"/>
        <w:spacing w:after="160" w:line="247" w:lineRule="auto"/>
        <w:textAlignment w:val="baseline"/>
        <w:rPr>
          <w:rFonts w:ascii="Arial" w:eastAsia="Arial" w:hAnsi="Arial" w:cs="Arial"/>
          <w:b/>
          <w:u w:val="single"/>
          <w:lang w:eastAsia="en-US"/>
        </w:rPr>
      </w:pPr>
      <w:r w:rsidRPr="00F05876">
        <w:rPr>
          <w:rFonts w:ascii="Arial" w:eastAsia="Arial" w:hAnsi="Arial" w:cs="Arial"/>
          <w:b/>
          <w:u w:val="single"/>
          <w:lang w:eastAsia="en-US"/>
        </w:rPr>
        <w:lastRenderedPageBreak/>
        <w:t>Upper Pay</w:t>
      </w:r>
    </w:p>
    <w:p w:rsidR="005818CE" w:rsidRPr="00F05876" w:rsidRDefault="005818CE" w:rsidP="005818CE">
      <w:pPr>
        <w:suppressAutoHyphens/>
        <w:autoSpaceDN w:val="0"/>
        <w:textAlignment w:val="baseline"/>
        <w:rPr>
          <w:rFonts w:ascii="Arial" w:hAnsi="Arial" w:cs="Arial"/>
          <w:lang w:val="en-US" w:eastAsia="en-US"/>
        </w:rPr>
      </w:pPr>
    </w:p>
    <w:tbl>
      <w:tblPr>
        <w:tblW w:w="7933" w:type="dxa"/>
        <w:tblLayout w:type="fixed"/>
        <w:tblCellMar>
          <w:left w:w="10" w:type="dxa"/>
          <w:right w:w="10" w:type="dxa"/>
        </w:tblCellMar>
        <w:tblLook w:val="04A0" w:firstRow="1" w:lastRow="0" w:firstColumn="1" w:lastColumn="0" w:noHBand="0" w:noVBand="1"/>
      </w:tblPr>
      <w:tblGrid>
        <w:gridCol w:w="3657"/>
        <w:gridCol w:w="1843"/>
        <w:gridCol w:w="2433"/>
      </w:tblGrid>
      <w:tr w:rsidR="005818CE" w:rsidRPr="00F05876" w:rsidTr="00016259">
        <w:tblPrEx>
          <w:tblCellMar>
            <w:top w:w="0" w:type="dxa"/>
            <w:bottom w:w="0" w:type="dxa"/>
          </w:tblCellMar>
        </w:tblPrEx>
        <w:trPr>
          <w:trHeight w:val="841"/>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b/>
                <w:bCs/>
                <w:color w:val="000000"/>
              </w:rPr>
            </w:pPr>
            <w:r w:rsidRPr="00F05876">
              <w:rPr>
                <w:rFonts w:ascii="Arial" w:hAnsi="Arial" w:cs="Arial"/>
                <w:b/>
                <w:bCs/>
                <w:color w:val="000000"/>
              </w:rPr>
              <w:t>Upper Pay Scale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2014</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w:t>
            </w:r>
          </w:p>
        </w:tc>
        <w:tc>
          <w:tcPr>
            <w:tcW w:w="2433"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Uprated</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2015</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w:t>
            </w:r>
          </w:p>
        </w:tc>
      </w:tr>
      <w:tr w:rsidR="005818CE" w:rsidRPr="00F05876" w:rsidTr="00016259">
        <w:tblPrEx>
          <w:tblCellMar>
            <w:top w:w="0" w:type="dxa"/>
            <w:bottom w:w="0" w:type="dxa"/>
          </w:tblCellMar>
        </w:tblPrEx>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rPr>
            </w:pPr>
            <w:r w:rsidRPr="00F05876">
              <w:rPr>
                <w:rFonts w:ascii="Arial" w:hAnsi="Arial" w:cs="Arial"/>
                <w:color w:val="000000"/>
              </w:rPr>
              <w:t>U1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38,355</w:t>
            </w:r>
          </w:p>
        </w:tc>
        <w:tc>
          <w:tcPr>
            <w:tcW w:w="2433"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38,739</w:t>
            </w:r>
          </w:p>
        </w:tc>
      </w:tr>
      <w:tr w:rsidR="005818CE" w:rsidRPr="00F05876" w:rsidTr="00016259">
        <w:tblPrEx>
          <w:tblCellMar>
            <w:top w:w="0" w:type="dxa"/>
            <w:bottom w:w="0" w:type="dxa"/>
          </w:tblCellMar>
        </w:tblPrEx>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rPr>
            </w:pPr>
            <w:r w:rsidRPr="00F05876">
              <w:rPr>
                <w:rFonts w:ascii="Arial" w:hAnsi="Arial" w:cs="Arial"/>
                <w:color w:val="000000"/>
              </w:rPr>
              <w:t>U2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39,775</w:t>
            </w:r>
          </w:p>
        </w:tc>
        <w:tc>
          <w:tcPr>
            <w:tcW w:w="2433"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40,173</w:t>
            </w:r>
          </w:p>
        </w:tc>
      </w:tr>
      <w:tr w:rsidR="005818CE" w:rsidRPr="00F05876" w:rsidTr="00016259">
        <w:tblPrEx>
          <w:tblCellMar>
            <w:top w:w="0" w:type="dxa"/>
            <w:bottom w:w="0" w:type="dxa"/>
          </w:tblCellMar>
        </w:tblPrEx>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rPr>
            </w:pPr>
            <w:r w:rsidRPr="00F05876">
              <w:rPr>
                <w:rFonts w:ascii="Arial" w:hAnsi="Arial" w:cs="Arial"/>
                <w:color w:val="000000"/>
              </w:rPr>
              <w:t>U3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41,246</w:t>
            </w:r>
          </w:p>
        </w:tc>
        <w:tc>
          <w:tcPr>
            <w:tcW w:w="2433"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41,660</w:t>
            </w:r>
          </w:p>
        </w:tc>
      </w:tr>
    </w:tbl>
    <w:p w:rsidR="005818CE" w:rsidRDefault="005818CE" w:rsidP="005818CE">
      <w:pPr>
        <w:widowControl w:val="0"/>
        <w:suppressAutoHyphens/>
        <w:autoSpaceDN w:val="0"/>
        <w:ind w:left="-284" w:right="189"/>
        <w:textAlignment w:val="baseline"/>
        <w:rPr>
          <w:rFonts w:ascii="Arial" w:eastAsia="Arial" w:hAnsi="Arial"/>
          <w:b/>
          <w:u w:val="single"/>
          <w:lang w:val="en-US" w:eastAsia="en-US"/>
        </w:rPr>
      </w:pPr>
    </w:p>
    <w:p w:rsidR="005818CE" w:rsidRPr="00F05876" w:rsidRDefault="005818CE" w:rsidP="005818CE">
      <w:pPr>
        <w:widowControl w:val="0"/>
        <w:suppressAutoHyphens/>
        <w:autoSpaceDN w:val="0"/>
        <w:ind w:left="-284" w:right="189"/>
        <w:textAlignment w:val="baseline"/>
        <w:rPr>
          <w:rFonts w:ascii="Arial" w:eastAsia="Arial" w:hAnsi="Arial"/>
          <w:b/>
          <w:u w:val="single"/>
          <w:lang w:val="en-US" w:eastAsia="en-US"/>
        </w:rPr>
      </w:pPr>
      <w:r w:rsidRPr="00F05876">
        <w:rPr>
          <w:rFonts w:ascii="Arial" w:eastAsia="Arial" w:hAnsi="Arial"/>
          <w:b/>
          <w:u w:val="single"/>
          <w:lang w:val="en-US" w:eastAsia="en-US"/>
        </w:rPr>
        <w:t xml:space="preserve">Leadership Pay </w:t>
      </w:r>
    </w:p>
    <w:p w:rsidR="005818CE" w:rsidRPr="00F05876" w:rsidRDefault="005818CE" w:rsidP="005818CE">
      <w:pPr>
        <w:widowControl w:val="0"/>
        <w:suppressAutoHyphens/>
        <w:autoSpaceDN w:val="0"/>
        <w:ind w:right="189"/>
        <w:textAlignment w:val="baseline"/>
        <w:rPr>
          <w:rFonts w:ascii="Arial" w:eastAsia="Arial" w:hAnsi="Arial"/>
          <w:b/>
          <w:u w:val="single"/>
          <w:lang w:val="en-US" w:eastAsia="en-US"/>
        </w:rPr>
      </w:pPr>
    </w:p>
    <w:p w:rsidR="005818CE" w:rsidRPr="00F05876" w:rsidRDefault="005818CE" w:rsidP="005818CE">
      <w:pPr>
        <w:widowControl w:val="0"/>
        <w:suppressAutoHyphens/>
        <w:autoSpaceDN w:val="0"/>
        <w:ind w:left="-284" w:right="189"/>
        <w:jc w:val="both"/>
        <w:textAlignment w:val="baseline"/>
        <w:rPr>
          <w:rFonts w:ascii="Arial" w:eastAsia="Arial" w:hAnsi="Arial"/>
          <w:lang w:val="en-US" w:eastAsia="en-US"/>
        </w:rPr>
      </w:pPr>
      <w:r w:rsidRPr="00F05876">
        <w:rPr>
          <w:rFonts w:ascii="Arial" w:eastAsia="Arial" w:hAnsi="Arial"/>
          <w:lang w:val="en-US" w:eastAsia="en-US"/>
        </w:rPr>
        <w:t>Under STPCD 2015, the maximum point of the leadership group range and the maxima of the eight head teacher group ranges did not receive a 1% pay uplift.</w:t>
      </w:r>
    </w:p>
    <w:p w:rsidR="005818CE" w:rsidRPr="00F05876" w:rsidRDefault="005818CE" w:rsidP="005818CE">
      <w:pPr>
        <w:widowControl w:val="0"/>
        <w:suppressAutoHyphens/>
        <w:autoSpaceDN w:val="0"/>
        <w:ind w:left="-284" w:right="189"/>
        <w:jc w:val="both"/>
        <w:textAlignment w:val="baseline"/>
        <w:rPr>
          <w:rFonts w:ascii="Arial" w:eastAsia="Arial" w:hAnsi="Arial"/>
          <w:lang w:val="en-US" w:eastAsia="en-US"/>
        </w:rPr>
      </w:pPr>
    </w:p>
    <w:p w:rsidR="005818CE" w:rsidRPr="00F05876" w:rsidRDefault="005818CE" w:rsidP="005818CE">
      <w:pPr>
        <w:widowControl w:val="0"/>
        <w:suppressAutoHyphens/>
        <w:autoSpaceDN w:val="0"/>
        <w:ind w:left="-284" w:right="189"/>
        <w:jc w:val="both"/>
        <w:textAlignment w:val="baseline"/>
        <w:rPr>
          <w:rFonts w:ascii="Arial" w:eastAsia="Arial" w:hAnsi="Arial"/>
          <w:lang w:val="en-US" w:eastAsia="en-US"/>
        </w:rPr>
      </w:pPr>
      <w:r w:rsidRPr="00F05876">
        <w:rPr>
          <w:rFonts w:ascii="Arial" w:eastAsia="Arial" w:hAnsi="Arial"/>
          <w:lang w:val="en-US" w:eastAsia="en-US"/>
        </w:rPr>
        <w:t>The freezing of the maximum point of the leadership group range and</w:t>
      </w:r>
      <w:r w:rsidRPr="00F05876">
        <w:rPr>
          <w:rFonts w:ascii="Arial" w:eastAsia="Arial" w:hAnsi="Arial"/>
          <w:spacing w:val="-19"/>
          <w:lang w:val="en-US" w:eastAsia="en-US"/>
        </w:rPr>
        <w:t xml:space="preserve"> </w:t>
      </w:r>
      <w:r w:rsidRPr="00F05876">
        <w:rPr>
          <w:rFonts w:ascii="Arial" w:eastAsia="Arial" w:hAnsi="Arial"/>
          <w:lang w:val="en-US" w:eastAsia="en-US"/>
        </w:rPr>
        <w:t xml:space="preserve">the maxima of the eight head teacher group ranges does </w:t>
      </w:r>
      <w:r w:rsidRPr="00F05876">
        <w:rPr>
          <w:rFonts w:ascii="Arial" w:eastAsia="Arial" w:hAnsi="Arial"/>
          <w:b/>
          <w:lang w:val="en-US" w:eastAsia="en-US"/>
        </w:rPr>
        <w:t xml:space="preserve">not </w:t>
      </w:r>
      <w:r w:rsidRPr="00F05876">
        <w:rPr>
          <w:rFonts w:ascii="Arial" w:eastAsia="Arial" w:hAnsi="Arial"/>
          <w:lang w:val="en-US" w:eastAsia="en-US"/>
        </w:rPr>
        <w:t>mean that</w:t>
      </w:r>
      <w:r w:rsidRPr="00F05876">
        <w:rPr>
          <w:rFonts w:ascii="Arial" w:eastAsia="Arial" w:hAnsi="Arial"/>
          <w:spacing w:val="-18"/>
          <w:lang w:val="en-US" w:eastAsia="en-US"/>
        </w:rPr>
        <w:t xml:space="preserve"> </w:t>
      </w:r>
      <w:r w:rsidRPr="00F05876">
        <w:rPr>
          <w:rFonts w:ascii="Arial" w:eastAsia="Arial" w:hAnsi="Arial"/>
          <w:lang w:val="en-US" w:eastAsia="en-US"/>
        </w:rPr>
        <w:t>those points must be frozen where they apply to a head who is not at the top of</w:t>
      </w:r>
      <w:r w:rsidRPr="00F05876">
        <w:rPr>
          <w:rFonts w:ascii="Arial" w:eastAsia="Arial" w:hAnsi="Arial"/>
          <w:spacing w:val="-34"/>
          <w:lang w:val="en-US" w:eastAsia="en-US"/>
        </w:rPr>
        <w:t xml:space="preserve"> </w:t>
      </w:r>
      <w:r w:rsidRPr="00F05876">
        <w:rPr>
          <w:rFonts w:ascii="Arial" w:eastAsia="Arial" w:hAnsi="Arial"/>
          <w:lang w:val="en-US" w:eastAsia="en-US"/>
        </w:rPr>
        <w:t>a school group range or to a deputy or assistant head teacher. For this</w:t>
      </w:r>
      <w:r w:rsidRPr="00F05876">
        <w:rPr>
          <w:rFonts w:ascii="Arial" w:eastAsia="Arial" w:hAnsi="Arial"/>
          <w:spacing w:val="-17"/>
          <w:lang w:val="en-US" w:eastAsia="en-US"/>
        </w:rPr>
        <w:t xml:space="preserve"> </w:t>
      </w:r>
      <w:r w:rsidRPr="00F05876">
        <w:rPr>
          <w:rFonts w:ascii="Arial" w:eastAsia="Arial" w:hAnsi="Arial"/>
          <w:lang w:val="en-US" w:eastAsia="en-US"/>
        </w:rPr>
        <w:t xml:space="preserve">reason the </w:t>
      </w:r>
      <w:proofErr w:type="spellStart"/>
      <w:r w:rsidRPr="00F05876">
        <w:rPr>
          <w:rFonts w:ascii="Arial" w:eastAsia="Arial" w:hAnsi="Arial"/>
          <w:lang w:val="en-US" w:eastAsia="en-US"/>
        </w:rPr>
        <w:t>payscale</w:t>
      </w:r>
      <w:proofErr w:type="spellEnd"/>
      <w:r w:rsidRPr="00F05876">
        <w:rPr>
          <w:rFonts w:ascii="Arial" w:eastAsia="Arial" w:hAnsi="Arial"/>
          <w:lang w:val="en-US" w:eastAsia="en-US"/>
        </w:rPr>
        <w:t xml:space="preserve"> contains alternative values for these points, one set remaining</w:t>
      </w:r>
      <w:r w:rsidRPr="00F05876">
        <w:rPr>
          <w:rFonts w:ascii="Arial" w:eastAsia="Arial" w:hAnsi="Arial"/>
          <w:spacing w:val="-25"/>
          <w:lang w:val="en-US" w:eastAsia="en-US"/>
        </w:rPr>
        <w:t xml:space="preserve"> </w:t>
      </w:r>
      <w:r w:rsidRPr="00F05876">
        <w:rPr>
          <w:rFonts w:ascii="Arial" w:eastAsia="Arial" w:hAnsi="Arial"/>
          <w:lang w:val="en-US" w:eastAsia="en-US"/>
        </w:rPr>
        <w:t>at 2014 levels, the other uplifted by</w:t>
      </w:r>
      <w:r w:rsidRPr="00F05876">
        <w:rPr>
          <w:rFonts w:ascii="Arial" w:eastAsia="Arial" w:hAnsi="Arial"/>
          <w:spacing w:val="-15"/>
          <w:lang w:val="en-US" w:eastAsia="en-US"/>
        </w:rPr>
        <w:t xml:space="preserve"> </w:t>
      </w:r>
      <w:r w:rsidRPr="00F05876">
        <w:rPr>
          <w:rFonts w:ascii="Arial" w:eastAsia="Arial" w:hAnsi="Arial"/>
          <w:lang w:val="en-US" w:eastAsia="en-US"/>
        </w:rPr>
        <w:t>1%.</w:t>
      </w:r>
    </w:p>
    <w:p w:rsidR="005818CE" w:rsidRPr="00F05876" w:rsidRDefault="005818CE" w:rsidP="005818CE">
      <w:pPr>
        <w:widowControl w:val="0"/>
        <w:suppressAutoHyphens/>
        <w:autoSpaceDN w:val="0"/>
        <w:ind w:left="-284" w:right="189"/>
        <w:jc w:val="both"/>
        <w:textAlignment w:val="baseline"/>
        <w:rPr>
          <w:rFonts w:ascii="Arial" w:eastAsia="Arial" w:hAnsi="Arial"/>
          <w:lang w:val="en-US" w:eastAsia="en-US"/>
        </w:rPr>
      </w:pPr>
    </w:p>
    <w:p w:rsidR="005818CE" w:rsidRPr="00F05876" w:rsidRDefault="005818CE" w:rsidP="005818CE">
      <w:pPr>
        <w:suppressAutoHyphens/>
        <w:autoSpaceDN w:val="0"/>
        <w:jc w:val="center"/>
        <w:textAlignment w:val="baseline"/>
        <w:rPr>
          <w:rFonts w:ascii="Arial" w:hAnsi="Arial" w:cs="Arial"/>
          <w:b/>
          <w:bCs/>
          <w:color w:val="000000"/>
          <w:sz w:val="23"/>
          <w:szCs w:val="23"/>
          <w:u w:val="single"/>
          <w:lang w:val="en-US" w:eastAsia="en-US"/>
        </w:rPr>
      </w:pPr>
      <w:r w:rsidRPr="00F05876">
        <w:rPr>
          <w:rFonts w:ascii="Arial" w:hAnsi="Arial" w:cs="Arial"/>
          <w:b/>
          <w:bCs/>
          <w:color w:val="000000"/>
          <w:sz w:val="23"/>
          <w:szCs w:val="23"/>
          <w:u w:val="single"/>
          <w:lang w:val="en-US" w:eastAsia="en-US"/>
        </w:rPr>
        <w:t xml:space="preserve">OUTER LONDON AREA PAY REFERENCE POINTS </w:t>
      </w:r>
    </w:p>
    <w:p w:rsidR="005818CE" w:rsidRPr="00F05876" w:rsidRDefault="005818CE" w:rsidP="005818CE">
      <w:pPr>
        <w:suppressAutoHyphens/>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u w:val="single"/>
          <w:lang w:val="en-US" w:eastAsia="en-US"/>
        </w:rPr>
        <w:t>FOR LEADERSHIP GROUP - Sept 2015</w:t>
      </w:r>
    </w:p>
    <w:p w:rsidR="005818CE" w:rsidRPr="00F05876" w:rsidRDefault="005818CE" w:rsidP="005818CE">
      <w:pPr>
        <w:suppressAutoHyphens/>
        <w:autoSpaceDE w:val="0"/>
        <w:autoSpaceDN w:val="0"/>
        <w:jc w:val="center"/>
        <w:textAlignment w:val="baseline"/>
        <w:rPr>
          <w:rFonts w:ascii="GillSans Light" w:hAnsi="GillSans Light" w:cs="GillSans Light"/>
          <w:color w:val="000000"/>
          <w:sz w:val="23"/>
          <w:szCs w:val="23"/>
        </w:rPr>
      </w:pPr>
    </w:p>
    <w:tbl>
      <w:tblPr>
        <w:tblW w:w="9209" w:type="dxa"/>
        <w:tblLayout w:type="fixed"/>
        <w:tblCellMar>
          <w:left w:w="10" w:type="dxa"/>
          <w:right w:w="10" w:type="dxa"/>
        </w:tblCellMar>
        <w:tblLook w:val="04A0" w:firstRow="1" w:lastRow="0" w:firstColumn="1" w:lastColumn="0" w:noHBand="0" w:noVBand="1"/>
      </w:tblPr>
      <w:tblGrid>
        <w:gridCol w:w="2830"/>
        <w:gridCol w:w="2835"/>
        <w:gridCol w:w="3544"/>
      </w:tblGrid>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i/>
                <w:iCs/>
                <w:color w:val="000000"/>
                <w:sz w:val="22"/>
                <w:szCs w:val="22"/>
              </w:rPr>
              <w:t>Leadership Group Pay Reference Points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lang w:val="en-US" w:eastAsia="en-US"/>
              </w:rPr>
              <w:t>2014</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lang w:val="en-US" w:eastAsia="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lang w:val="en-US" w:eastAsia="en-US"/>
              </w:rPr>
              <w:t>Uprated</w:t>
            </w:r>
          </w:p>
          <w:p w:rsidR="005818CE" w:rsidRPr="00F05876" w:rsidRDefault="005818CE" w:rsidP="00016259">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lang w:val="en-US" w:eastAsia="en-US"/>
              </w:rPr>
              <w:t>2015</w:t>
            </w:r>
          </w:p>
          <w:p w:rsidR="005818CE" w:rsidRPr="00F05876" w:rsidRDefault="005818CE" w:rsidP="00016259">
            <w:pPr>
              <w:suppressAutoHyphens/>
              <w:autoSpaceDE w:val="0"/>
              <w:autoSpaceDN w:val="0"/>
              <w:jc w:val="center"/>
              <w:textAlignment w:val="baseline"/>
              <w:rPr>
                <w:rFonts w:ascii="Arial" w:hAnsi="Arial" w:cs="Arial"/>
                <w:b/>
                <w:bCs/>
                <w:color w:val="000000"/>
                <w:sz w:val="23"/>
                <w:szCs w:val="23"/>
                <w:lang w:val="en-US" w:eastAsia="en-US"/>
              </w:rPr>
            </w:pPr>
            <w:r w:rsidRPr="00F05876">
              <w:rPr>
                <w:rFonts w:ascii="Arial" w:hAnsi="Arial" w:cs="Arial"/>
                <w:b/>
                <w:bCs/>
                <w:color w:val="000000"/>
                <w:sz w:val="23"/>
                <w:szCs w:val="23"/>
                <w:lang w:val="en-US" w:eastAsia="en-US"/>
              </w:rPr>
              <w:t>£</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41,247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41,660</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42,205</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42,628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43,180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43,612</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44,185</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44,627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45,210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45,663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46,264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46,727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47,431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47,906</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48,454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48,939</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49,587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50,083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50,785</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51,293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52,019</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52,540</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53,154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53,686</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54,408</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54,953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55,681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56,238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56,992</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57,562</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58,429</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59,014</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59,703</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60,301</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61,131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61,131</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61,131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61,743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62,572</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63,198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64,046</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64,687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65,557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65,557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65,557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66,213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67,104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67,776</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68,692</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69,379</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70,321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70,321</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70,321</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71,025</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71,994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72,714</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73,700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74,437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75,450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75,450</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75,450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76,205</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77,248</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78,021</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79,084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79,875</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80,977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81,787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82,908</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82,908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82,908</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83,738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84,888</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85,737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86,927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87,797</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89,000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89,890</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91,134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91,134</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91,134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92,046</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93,312</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94,246</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95,562</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96,518</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97,850</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98,829</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100,159</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100,159</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100,159</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101,161</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102,587</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103,613</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105,074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106,125</w:t>
            </w:r>
          </w:p>
        </w:tc>
      </w:tr>
      <w:tr w:rsidR="005818CE" w:rsidRPr="00F05876" w:rsidTr="00016259">
        <w:tblPrEx>
          <w:tblCellMar>
            <w:top w:w="0" w:type="dxa"/>
            <w:bottom w:w="0" w:type="dxa"/>
          </w:tblCellMar>
        </w:tblPrEx>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107,624</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spacing w:after="160" w:line="247" w:lineRule="auto"/>
              <w:jc w:val="center"/>
              <w:textAlignment w:val="baseline"/>
              <w:rPr>
                <w:rFonts w:ascii="Arial" w:eastAsia="Calibri" w:hAnsi="Arial" w:cs="Arial"/>
                <w:sz w:val="22"/>
                <w:szCs w:val="22"/>
                <w:lang w:eastAsia="en-US"/>
              </w:rPr>
            </w:pPr>
            <w:r w:rsidRPr="00F05876">
              <w:rPr>
                <w:rFonts w:ascii="Arial" w:eastAsia="Calibri" w:hAnsi="Arial" w:cs="Arial"/>
                <w:sz w:val="22"/>
                <w:szCs w:val="22"/>
                <w:lang w:eastAsia="en-US"/>
              </w:rPr>
              <w:t>108,701</w:t>
            </w:r>
          </w:p>
        </w:tc>
      </w:tr>
      <w:tr w:rsidR="005818CE" w:rsidRPr="00F05876" w:rsidTr="00016259">
        <w:tblPrEx>
          <w:tblCellMar>
            <w:top w:w="0" w:type="dxa"/>
            <w:bottom w:w="0" w:type="dxa"/>
          </w:tblCellMar>
        </w:tblPrEx>
        <w:trPr>
          <w:trHeight w:val="44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8CE" w:rsidRPr="00F05876" w:rsidRDefault="005818CE" w:rsidP="00016259">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110,243</w:t>
            </w:r>
          </w:p>
        </w:tc>
        <w:tc>
          <w:tcPr>
            <w:tcW w:w="354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5818CE" w:rsidRPr="00F05876" w:rsidRDefault="005818CE" w:rsidP="00016259">
            <w:pPr>
              <w:suppressAutoHyphens/>
              <w:autoSpaceDN w:val="0"/>
              <w:jc w:val="center"/>
              <w:textAlignment w:val="baseline"/>
              <w:rPr>
                <w:rFonts w:ascii="Arial" w:hAnsi="Arial" w:cs="Arial"/>
                <w:color w:val="000000"/>
                <w:sz w:val="22"/>
                <w:szCs w:val="22"/>
                <w:lang w:val="en-US" w:eastAsia="en-US"/>
              </w:rPr>
            </w:pPr>
            <w:r w:rsidRPr="00F05876">
              <w:rPr>
                <w:rFonts w:ascii="Arial" w:hAnsi="Arial" w:cs="Arial"/>
                <w:color w:val="000000"/>
                <w:sz w:val="22"/>
                <w:szCs w:val="22"/>
                <w:lang w:val="en-US" w:eastAsia="en-US"/>
              </w:rPr>
              <w:t>110,243</w:t>
            </w:r>
          </w:p>
        </w:tc>
      </w:tr>
    </w:tbl>
    <w:p w:rsidR="005818CE" w:rsidRPr="00F05876" w:rsidRDefault="005818CE" w:rsidP="005818CE">
      <w:pPr>
        <w:suppressAutoHyphens/>
        <w:autoSpaceDE w:val="0"/>
        <w:autoSpaceDN w:val="0"/>
        <w:textAlignment w:val="baseline"/>
        <w:rPr>
          <w:rFonts w:ascii="Calibri" w:eastAsia="Calibri" w:hAnsi="Calibri"/>
          <w:sz w:val="22"/>
          <w:szCs w:val="22"/>
          <w:lang w:eastAsia="en-US"/>
        </w:rPr>
      </w:pPr>
      <w:r w:rsidRPr="00F05876">
        <w:rPr>
          <w:rFonts w:ascii="GillSans Light" w:hAnsi="GillSans Light" w:cs="GillSans Light"/>
          <w:color w:val="000000"/>
          <w:sz w:val="23"/>
          <w:szCs w:val="23"/>
        </w:rPr>
        <w:t xml:space="preserve"> </w:t>
      </w:r>
      <w:bookmarkStart w:id="0" w:name="_GoBack"/>
      <w:bookmarkEnd w:id="0"/>
    </w:p>
    <w:sectPr w:rsidR="005818CE" w:rsidRPr="00F05876" w:rsidSect="00581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CE"/>
    <w:rsid w:val="005818CE"/>
    <w:rsid w:val="00B7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1B44D-8114-452E-AFCD-462CB31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65FE-9BCA-4CED-B08E-210C19A7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9BCD0F7</Template>
  <TotalTime>3</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Scrace</dc:creator>
  <cp:keywords/>
  <dc:description/>
  <cp:lastModifiedBy>Thomas Scrace</cp:lastModifiedBy>
  <cp:revision>1</cp:revision>
  <dcterms:created xsi:type="dcterms:W3CDTF">2015-12-03T15:34:00Z</dcterms:created>
  <dcterms:modified xsi:type="dcterms:W3CDTF">2015-12-03T15:37:00Z</dcterms:modified>
</cp:coreProperties>
</file>