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63" w:type="dxa"/>
          <w:right w:w="163" w:type="dxa"/>
        </w:tblCellMar>
        <w:tblLook w:val="0000" w:firstRow="0" w:lastRow="0" w:firstColumn="0" w:lastColumn="0" w:noHBand="0" w:noVBand="0"/>
      </w:tblPr>
      <w:tblGrid>
        <w:gridCol w:w="828"/>
        <w:gridCol w:w="8198"/>
      </w:tblGrid>
      <w:tr w:rsidR="00480322" w:rsidRPr="00267D06" w14:paraId="77701461" w14:textId="77777777" w:rsidTr="00905415">
        <w:trPr>
          <w:trHeight w:val="387"/>
          <w:jc w:val="center"/>
        </w:trPr>
        <w:tc>
          <w:tcPr>
            <w:tcW w:w="828" w:type="dxa"/>
            <w:tcBorders>
              <w:top w:val="double" w:sz="7" w:space="0" w:color="000000"/>
              <w:left w:val="double" w:sz="7" w:space="0" w:color="000000"/>
              <w:bottom w:val="double" w:sz="7" w:space="0" w:color="000000"/>
              <w:right w:val="single" w:sz="6" w:space="0" w:color="FFFFFF"/>
            </w:tcBorders>
            <w:shd w:val="pct10" w:color="000000" w:fill="FFFFFF"/>
            <w:vAlign w:val="center"/>
          </w:tcPr>
          <w:p w14:paraId="14EE6663" w14:textId="77777777" w:rsidR="00480322" w:rsidRPr="00267D06" w:rsidRDefault="00480322" w:rsidP="00905415">
            <w:pPr>
              <w:spacing w:line="201" w:lineRule="exact"/>
              <w:jc w:val="center"/>
              <w:rPr>
                <w:szCs w:val="24"/>
              </w:rPr>
            </w:pPr>
          </w:p>
          <w:p w14:paraId="18DAA1A2" w14:textId="77777777" w:rsidR="00480322" w:rsidRPr="00267D06" w:rsidRDefault="00480322" w:rsidP="00905415">
            <w:pPr>
              <w:tabs>
                <w:tab w:val="center" w:pos="251"/>
              </w:tabs>
              <w:spacing w:after="58"/>
              <w:jc w:val="center"/>
              <w:rPr>
                <w:b/>
                <w:szCs w:val="24"/>
              </w:rPr>
            </w:pPr>
            <w:r w:rsidRPr="00267D06">
              <w:rPr>
                <w:b/>
                <w:szCs w:val="24"/>
              </w:rPr>
              <w:t>3</w:t>
            </w:r>
            <w:r>
              <w:rPr>
                <w:b/>
                <w:szCs w:val="24"/>
              </w:rPr>
              <w:t>A</w:t>
            </w:r>
            <w:r w:rsidRPr="00267D06">
              <w:rPr>
                <w:b/>
                <w:szCs w:val="24"/>
              </w:rPr>
              <w:t>.</w:t>
            </w:r>
          </w:p>
        </w:tc>
        <w:tc>
          <w:tcPr>
            <w:tcW w:w="8198" w:type="dxa"/>
            <w:tcBorders>
              <w:top w:val="double" w:sz="7" w:space="0" w:color="000000"/>
              <w:left w:val="double" w:sz="7" w:space="0" w:color="000000"/>
              <w:bottom w:val="double" w:sz="7" w:space="0" w:color="000000"/>
              <w:right w:val="double" w:sz="7" w:space="0" w:color="000000"/>
            </w:tcBorders>
            <w:shd w:val="pct10" w:color="000000" w:fill="FFFFFF"/>
            <w:vAlign w:val="center"/>
          </w:tcPr>
          <w:p w14:paraId="16778A23" w14:textId="77777777" w:rsidR="00480322" w:rsidRPr="00267D06" w:rsidRDefault="00480322" w:rsidP="00905415">
            <w:pPr>
              <w:spacing w:line="201" w:lineRule="exact"/>
              <w:jc w:val="center"/>
              <w:rPr>
                <w:b/>
                <w:szCs w:val="24"/>
              </w:rPr>
            </w:pPr>
          </w:p>
          <w:p w14:paraId="02FB22BB" w14:textId="3CD4FE31" w:rsidR="00480322" w:rsidRPr="00267D06" w:rsidRDefault="00480322" w:rsidP="00905415">
            <w:pPr>
              <w:tabs>
                <w:tab w:val="center" w:pos="3936"/>
              </w:tabs>
              <w:spacing w:after="58"/>
              <w:jc w:val="center"/>
              <w:rPr>
                <w:b/>
                <w:szCs w:val="24"/>
              </w:rPr>
            </w:pPr>
            <w:r w:rsidRPr="00267D06">
              <w:rPr>
                <w:b/>
                <w:szCs w:val="24"/>
              </w:rPr>
              <w:t>INDUCTION AND PROBATION</w:t>
            </w:r>
            <w:r>
              <w:rPr>
                <w:b/>
                <w:szCs w:val="24"/>
              </w:rPr>
              <w:t xml:space="preserve"> POLICY </w:t>
            </w:r>
            <w:r w:rsidR="006442A4">
              <w:rPr>
                <w:b/>
                <w:szCs w:val="24"/>
              </w:rPr>
              <w:t>FOR SUPPORT STAFF</w:t>
            </w:r>
          </w:p>
        </w:tc>
      </w:tr>
    </w:tbl>
    <w:p w14:paraId="21CAD324" w14:textId="77777777" w:rsidR="00480322" w:rsidRDefault="00480322" w:rsidP="00480322">
      <w:pPr>
        <w:rPr>
          <w:b/>
        </w:rPr>
      </w:pPr>
    </w:p>
    <w:p w14:paraId="7D12C6E5" w14:textId="77777777" w:rsidR="00480322" w:rsidRPr="00C24B72" w:rsidRDefault="00480322" w:rsidP="00480322">
      <w:pPr>
        <w:rPr>
          <w:b/>
        </w:rPr>
      </w:pPr>
    </w:p>
    <w:p w14:paraId="54652F95" w14:textId="77777777" w:rsidR="00480322" w:rsidRDefault="00480322" w:rsidP="00480322">
      <w:pPr>
        <w:pBdr>
          <w:top w:val="single" w:sz="4" w:space="1" w:color="auto"/>
          <w:bottom w:val="single" w:sz="4" w:space="1" w:color="auto"/>
        </w:pBdr>
        <w:jc w:val="center"/>
        <w:rPr>
          <w:b/>
          <w:sz w:val="26"/>
          <w:szCs w:val="26"/>
        </w:rPr>
      </w:pPr>
      <w:r w:rsidRPr="00C24B72">
        <w:rPr>
          <w:b/>
          <w:sz w:val="26"/>
          <w:szCs w:val="26"/>
        </w:rPr>
        <w:t>CONTENTS</w:t>
      </w:r>
    </w:p>
    <w:p w14:paraId="3340AEDB" w14:textId="58433D73" w:rsidR="00CE324E" w:rsidRDefault="00480322">
      <w:pPr>
        <w:pStyle w:val="TOC2"/>
        <w:tabs>
          <w:tab w:val="left" w:pos="993"/>
          <w:tab w:val="right" w:leader="dot" w:pos="9016"/>
        </w:tabs>
        <w:rPr>
          <w:noProof/>
        </w:rPr>
      </w:pPr>
      <w:r w:rsidRPr="006330F7">
        <w:rPr>
          <w:highlight w:val="yellow"/>
        </w:rPr>
        <w:fldChar w:fldCharType="begin"/>
      </w:r>
      <w:r w:rsidRPr="006330F7">
        <w:rPr>
          <w:highlight w:val="yellow"/>
        </w:rPr>
        <w:instrText xml:space="preserve"> TOC \o "1-4" \u </w:instrText>
      </w:r>
      <w:r w:rsidRPr="006330F7">
        <w:rPr>
          <w:highlight w:val="yellow"/>
        </w:rPr>
        <w:fldChar w:fldCharType="separate"/>
      </w:r>
      <w:r w:rsidR="00CE324E" w:rsidRPr="00FE4464">
        <w:rPr>
          <w:rFonts w:cs="Arial"/>
          <w:b/>
          <w:noProof/>
        </w:rPr>
        <w:t>1.</w:t>
      </w:r>
      <w:r w:rsidR="00CE324E">
        <w:rPr>
          <w:noProof/>
        </w:rPr>
        <w:tab/>
      </w:r>
      <w:r w:rsidR="00CE324E" w:rsidRPr="00FE4464">
        <w:rPr>
          <w:rFonts w:cs="Arial"/>
          <w:b/>
          <w:noProof/>
        </w:rPr>
        <w:t>INTRODUCTION</w:t>
      </w:r>
      <w:r w:rsidR="00CE324E">
        <w:rPr>
          <w:noProof/>
        </w:rPr>
        <w:tab/>
      </w:r>
      <w:r w:rsidR="00CE324E">
        <w:rPr>
          <w:noProof/>
        </w:rPr>
        <w:fldChar w:fldCharType="begin"/>
      </w:r>
      <w:r w:rsidR="00CE324E">
        <w:rPr>
          <w:noProof/>
        </w:rPr>
        <w:instrText xml:space="preserve"> PAGEREF _Toc516232272 \h </w:instrText>
      </w:r>
      <w:r w:rsidR="00CE324E">
        <w:rPr>
          <w:noProof/>
        </w:rPr>
      </w:r>
      <w:r w:rsidR="00CE324E">
        <w:rPr>
          <w:noProof/>
        </w:rPr>
        <w:fldChar w:fldCharType="separate"/>
      </w:r>
      <w:r w:rsidR="00016D47">
        <w:rPr>
          <w:noProof/>
        </w:rPr>
        <w:t>2</w:t>
      </w:r>
      <w:r w:rsidR="00CE324E">
        <w:rPr>
          <w:noProof/>
        </w:rPr>
        <w:fldChar w:fldCharType="end"/>
      </w:r>
    </w:p>
    <w:p w14:paraId="5380CEF7" w14:textId="7D77C34E" w:rsidR="00CE324E" w:rsidRDefault="00CE324E">
      <w:pPr>
        <w:pStyle w:val="TOC2"/>
        <w:tabs>
          <w:tab w:val="left" w:pos="993"/>
          <w:tab w:val="right" w:leader="dot" w:pos="9016"/>
        </w:tabs>
        <w:rPr>
          <w:noProof/>
        </w:rPr>
      </w:pPr>
      <w:r w:rsidRPr="00FE4464">
        <w:rPr>
          <w:rFonts w:cs="Arial"/>
          <w:b/>
          <w:noProof/>
        </w:rPr>
        <w:t>2.</w:t>
      </w:r>
      <w:r>
        <w:rPr>
          <w:noProof/>
        </w:rPr>
        <w:tab/>
      </w:r>
      <w:r w:rsidRPr="00FE4464">
        <w:rPr>
          <w:rFonts w:cs="Arial"/>
          <w:b/>
          <w:noProof/>
        </w:rPr>
        <w:t>SCOPE</w:t>
      </w:r>
      <w:r>
        <w:rPr>
          <w:noProof/>
        </w:rPr>
        <w:tab/>
      </w:r>
      <w:r>
        <w:rPr>
          <w:noProof/>
        </w:rPr>
        <w:fldChar w:fldCharType="begin"/>
      </w:r>
      <w:r>
        <w:rPr>
          <w:noProof/>
        </w:rPr>
        <w:instrText xml:space="preserve"> PAGEREF _Toc516232273 \h </w:instrText>
      </w:r>
      <w:r>
        <w:rPr>
          <w:noProof/>
        </w:rPr>
      </w:r>
      <w:r>
        <w:rPr>
          <w:noProof/>
        </w:rPr>
        <w:fldChar w:fldCharType="separate"/>
      </w:r>
      <w:r w:rsidR="00016D47">
        <w:rPr>
          <w:noProof/>
        </w:rPr>
        <w:t>3</w:t>
      </w:r>
      <w:r>
        <w:rPr>
          <w:noProof/>
        </w:rPr>
        <w:fldChar w:fldCharType="end"/>
      </w:r>
    </w:p>
    <w:p w14:paraId="0F90B78B" w14:textId="33C1F51F" w:rsidR="00CE324E" w:rsidRDefault="00CE324E">
      <w:pPr>
        <w:pStyle w:val="TOC2"/>
        <w:tabs>
          <w:tab w:val="left" w:pos="993"/>
          <w:tab w:val="right" w:leader="dot" w:pos="9016"/>
        </w:tabs>
        <w:rPr>
          <w:noProof/>
        </w:rPr>
      </w:pPr>
      <w:r w:rsidRPr="00FE4464">
        <w:rPr>
          <w:rFonts w:cs="Arial"/>
          <w:b/>
          <w:noProof/>
        </w:rPr>
        <w:t>3.</w:t>
      </w:r>
      <w:r>
        <w:rPr>
          <w:noProof/>
        </w:rPr>
        <w:tab/>
      </w:r>
      <w:r w:rsidRPr="00FE4464">
        <w:rPr>
          <w:rFonts w:cs="Arial"/>
          <w:b/>
          <w:noProof/>
        </w:rPr>
        <w:t>PRINCIPLES</w:t>
      </w:r>
      <w:r>
        <w:rPr>
          <w:noProof/>
        </w:rPr>
        <w:tab/>
      </w:r>
      <w:r>
        <w:rPr>
          <w:noProof/>
        </w:rPr>
        <w:fldChar w:fldCharType="begin"/>
      </w:r>
      <w:r>
        <w:rPr>
          <w:noProof/>
        </w:rPr>
        <w:instrText xml:space="preserve"> PAGEREF _Toc516232274 \h </w:instrText>
      </w:r>
      <w:r>
        <w:rPr>
          <w:noProof/>
        </w:rPr>
      </w:r>
      <w:r>
        <w:rPr>
          <w:noProof/>
        </w:rPr>
        <w:fldChar w:fldCharType="separate"/>
      </w:r>
      <w:r w:rsidR="00016D47">
        <w:rPr>
          <w:noProof/>
        </w:rPr>
        <w:t>4</w:t>
      </w:r>
      <w:r>
        <w:rPr>
          <w:noProof/>
        </w:rPr>
        <w:fldChar w:fldCharType="end"/>
      </w:r>
    </w:p>
    <w:p w14:paraId="3DDE12DB" w14:textId="4B69C434" w:rsidR="00CE324E" w:rsidRDefault="00CE324E">
      <w:pPr>
        <w:pStyle w:val="TOC2"/>
        <w:tabs>
          <w:tab w:val="left" w:pos="993"/>
          <w:tab w:val="right" w:leader="dot" w:pos="9016"/>
        </w:tabs>
        <w:rPr>
          <w:noProof/>
        </w:rPr>
      </w:pPr>
      <w:r w:rsidRPr="00FE4464">
        <w:rPr>
          <w:rFonts w:cs="Arial"/>
          <w:b/>
          <w:noProof/>
        </w:rPr>
        <w:t>4.</w:t>
      </w:r>
      <w:r>
        <w:rPr>
          <w:noProof/>
        </w:rPr>
        <w:tab/>
      </w:r>
      <w:r w:rsidRPr="00FE4464">
        <w:rPr>
          <w:rFonts w:cs="Arial"/>
          <w:b/>
          <w:noProof/>
        </w:rPr>
        <w:t>ROLES AND RESPONSBILITITIES</w:t>
      </w:r>
      <w:r>
        <w:rPr>
          <w:noProof/>
        </w:rPr>
        <w:tab/>
      </w:r>
      <w:r>
        <w:rPr>
          <w:noProof/>
        </w:rPr>
        <w:fldChar w:fldCharType="begin"/>
      </w:r>
      <w:r>
        <w:rPr>
          <w:noProof/>
        </w:rPr>
        <w:instrText xml:space="preserve"> PAGEREF _Toc516232275 \h </w:instrText>
      </w:r>
      <w:r>
        <w:rPr>
          <w:noProof/>
        </w:rPr>
      </w:r>
      <w:r>
        <w:rPr>
          <w:noProof/>
        </w:rPr>
        <w:fldChar w:fldCharType="separate"/>
      </w:r>
      <w:r w:rsidR="00016D47">
        <w:rPr>
          <w:noProof/>
        </w:rPr>
        <w:t>4</w:t>
      </w:r>
      <w:r>
        <w:rPr>
          <w:noProof/>
        </w:rPr>
        <w:fldChar w:fldCharType="end"/>
      </w:r>
    </w:p>
    <w:p w14:paraId="17D46FFA" w14:textId="78677000" w:rsidR="00480322" w:rsidRDefault="00480322" w:rsidP="00480322">
      <w:pPr>
        <w:tabs>
          <w:tab w:val="left" w:leader="dot" w:pos="9639"/>
        </w:tabs>
        <w:rPr>
          <w:rFonts w:cs="Arial"/>
          <w:b/>
        </w:rPr>
      </w:pPr>
      <w:r w:rsidRPr="006330F7">
        <w:rPr>
          <w:rFonts w:cs="Arial"/>
          <w:b/>
          <w:highlight w:val="yellow"/>
        </w:rPr>
        <w:fldChar w:fldCharType="end"/>
      </w:r>
    </w:p>
    <w:p w14:paraId="4BD885D6" w14:textId="77777777" w:rsidR="00480322" w:rsidRDefault="00480322" w:rsidP="00480322">
      <w:pPr>
        <w:tabs>
          <w:tab w:val="left" w:leader="dot" w:pos="9639"/>
        </w:tabs>
        <w:rPr>
          <w:rFonts w:cs="Arial"/>
        </w:rPr>
      </w:pPr>
      <w:r>
        <w:rPr>
          <w:rFonts w:cs="Arial"/>
          <w:b/>
        </w:rPr>
        <w:br w:type="page"/>
      </w:r>
      <w:bookmarkStart w:id="0" w:name="_GoBack"/>
      <w:bookmarkEnd w:id="0"/>
    </w:p>
    <w:tbl>
      <w:tblPr>
        <w:tblW w:w="0" w:type="auto"/>
        <w:jc w:val="center"/>
        <w:tblLayout w:type="fixed"/>
        <w:tblCellMar>
          <w:left w:w="163" w:type="dxa"/>
          <w:right w:w="163" w:type="dxa"/>
        </w:tblCellMar>
        <w:tblLook w:val="0000" w:firstRow="0" w:lastRow="0" w:firstColumn="0" w:lastColumn="0" w:noHBand="0" w:noVBand="0"/>
      </w:tblPr>
      <w:tblGrid>
        <w:gridCol w:w="828"/>
        <w:gridCol w:w="8198"/>
      </w:tblGrid>
      <w:tr w:rsidR="00480322" w:rsidRPr="00267D06" w14:paraId="43FD8FB3" w14:textId="77777777" w:rsidTr="00905415">
        <w:trPr>
          <w:trHeight w:val="387"/>
          <w:jc w:val="center"/>
        </w:trPr>
        <w:tc>
          <w:tcPr>
            <w:tcW w:w="828" w:type="dxa"/>
            <w:tcBorders>
              <w:top w:val="double" w:sz="7" w:space="0" w:color="000000"/>
              <w:left w:val="double" w:sz="7" w:space="0" w:color="000000"/>
              <w:bottom w:val="double" w:sz="7" w:space="0" w:color="000000"/>
              <w:right w:val="single" w:sz="6" w:space="0" w:color="FFFFFF"/>
            </w:tcBorders>
            <w:shd w:val="pct10" w:color="000000" w:fill="FFFFFF"/>
            <w:vAlign w:val="center"/>
          </w:tcPr>
          <w:p w14:paraId="4C934F8A" w14:textId="77777777" w:rsidR="00480322" w:rsidRPr="00267D06" w:rsidRDefault="00480322" w:rsidP="00905415">
            <w:pPr>
              <w:spacing w:line="201" w:lineRule="exact"/>
              <w:rPr>
                <w:szCs w:val="24"/>
              </w:rPr>
            </w:pPr>
          </w:p>
          <w:p w14:paraId="4A5F3115" w14:textId="1C337250" w:rsidR="00480322" w:rsidRPr="00267D06" w:rsidRDefault="00480322" w:rsidP="00905415">
            <w:pPr>
              <w:tabs>
                <w:tab w:val="center" w:pos="251"/>
              </w:tabs>
              <w:spacing w:after="58"/>
              <w:jc w:val="center"/>
              <w:rPr>
                <w:b/>
                <w:szCs w:val="24"/>
              </w:rPr>
            </w:pPr>
            <w:r w:rsidRPr="00267D06">
              <w:rPr>
                <w:b/>
                <w:szCs w:val="24"/>
              </w:rPr>
              <w:t>3</w:t>
            </w:r>
            <w:r w:rsidR="00643B86">
              <w:rPr>
                <w:b/>
                <w:szCs w:val="24"/>
              </w:rPr>
              <w:t>A</w:t>
            </w:r>
            <w:r w:rsidRPr="00267D06">
              <w:rPr>
                <w:b/>
                <w:szCs w:val="24"/>
              </w:rPr>
              <w:t>.</w:t>
            </w:r>
          </w:p>
        </w:tc>
        <w:tc>
          <w:tcPr>
            <w:tcW w:w="8198" w:type="dxa"/>
            <w:tcBorders>
              <w:top w:val="double" w:sz="7" w:space="0" w:color="000000"/>
              <w:left w:val="double" w:sz="7" w:space="0" w:color="000000"/>
              <w:bottom w:val="double" w:sz="7" w:space="0" w:color="000000"/>
              <w:right w:val="double" w:sz="7" w:space="0" w:color="000000"/>
            </w:tcBorders>
            <w:shd w:val="pct10" w:color="000000" w:fill="FFFFFF"/>
            <w:vAlign w:val="center"/>
          </w:tcPr>
          <w:p w14:paraId="40EAC533" w14:textId="77777777" w:rsidR="00480322" w:rsidRPr="00267D06" w:rsidRDefault="00480322" w:rsidP="00905415">
            <w:pPr>
              <w:spacing w:line="201" w:lineRule="exact"/>
              <w:jc w:val="center"/>
              <w:rPr>
                <w:b/>
                <w:szCs w:val="24"/>
              </w:rPr>
            </w:pPr>
          </w:p>
          <w:p w14:paraId="099C15D0" w14:textId="73E30468" w:rsidR="00480322" w:rsidRPr="00267D06" w:rsidRDefault="00480322" w:rsidP="00905415">
            <w:pPr>
              <w:tabs>
                <w:tab w:val="center" w:pos="3936"/>
              </w:tabs>
              <w:spacing w:after="58"/>
              <w:jc w:val="center"/>
              <w:rPr>
                <w:b/>
                <w:szCs w:val="24"/>
              </w:rPr>
            </w:pPr>
            <w:r w:rsidRPr="00267D06">
              <w:rPr>
                <w:b/>
                <w:szCs w:val="24"/>
              </w:rPr>
              <w:t>INDUCTION AND PROBATION</w:t>
            </w:r>
            <w:r>
              <w:rPr>
                <w:b/>
                <w:szCs w:val="24"/>
              </w:rPr>
              <w:t xml:space="preserve"> POLICY </w:t>
            </w:r>
            <w:r w:rsidR="006442A4">
              <w:rPr>
                <w:b/>
                <w:szCs w:val="24"/>
              </w:rPr>
              <w:t>FOR SUPPORT STAFF</w:t>
            </w:r>
          </w:p>
        </w:tc>
      </w:tr>
    </w:tbl>
    <w:p w14:paraId="717E9646" w14:textId="77777777" w:rsidR="00480322" w:rsidRDefault="00480322" w:rsidP="00480322">
      <w:pPr>
        <w:pBdr>
          <w:top w:val="single" w:sz="4" w:space="0" w:color="auto"/>
        </w:pBdr>
        <w:jc w:val="both"/>
        <w:rPr>
          <w:b/>
          <w:sz w:val="26"/>
        </w:rPr>
      </w:pPr>
    </w:p>
    <w:p w14:paraId="2057E9E0" w14:textId="77777777" w:rsidR="00480322" w:rsidRPr="00DB0417" w:rsidRDefault="00480322" w:rsidP="00480322">
      <w:pPr>
        <w:spacing w:after="160" w:line="259" w:lineRule="auto"/>
      </w:pPr>
      <w:bookmarkStart w:id="1" w:name="_Toc136251638"/>
      <w:r w:rsidRPr="00DB0417">
        <w:t>The Governing Board of __________________________________ School formally adopted this policy and procedure with effect from (insert date)</w:t>
      </w:r>
    </w:p>
    <w:p w14:paraId="67B40652" w14:textId="77777777" w:rsidR="00480322" w:rsidRPr="00DB0417" w:rsidRDefault="00480322" w:rsidP="00480322">
      <w:pPr>
        <w:spacing w:after="160" w:line="259" w:lineRule="auto"/>
      </w:pPr>
      <w:r w:rsidRPr="00DB0417">
        <w:t xml:space="preserve">It will review it in </w:t>
      </w:r>
      <w:r w:rsidRPr="00DB0417">
        <w:rPr>
          <w:i/>
        </w:rPr>
        <w:t>(insert date or number of years)</w:t>
      </w:r>
      <w:r w:rsidRPr="00DB0417">
        <w:t xml:space="preserve">   </w:t>
      </w:r>
    </w:p>
    <w:p w14:paraId="006370BA" w14:textId="6AAE6131" w:rsidR="00480322" w:rsidRPr="00DB0417" w:rsidRDefault="00480322" w:rsidP="00CE324E">
      <w:pPr>
        <w:pStyle w:val="Heading2"/>
        <w:numPr>
          <w:ilvl w:val="0"/>
          <w:numId w:val="5"/>
        </w:numPr>
        <w:ind w:hanging="720"/>
        <w:rPr>
          <w:rFonts w:ascii="Arial" w:hAnsi="Arial" w:cs="Arial"/>
          <w:b/>
          <w:color w:val="auto"/>
          <w:sz w:val="24"/>
          <w:szCs w:val="24"/>
        </w:rPr>
      </w:pPr>
      <w:bookmarkStart w:id="2" w:name="_Toc516232272"/>
      <w:bookmarkEnd w:id="1"/>
      <w:r w:rsidRPr="00DB0417">
        <w:rPr>
          <w:rFonts w:ascii="Arial" w:hAnsi="Arial" w:cs="Arial"/>
          <w:b/>
          <w:color w:val="auto"/>
          <w:sz w:val="24"/>
          <w:szCs w:val="24"/>
        </w:rPr>
        <w:t>INTRODUCTION</w:t>
      </w:r>
      <w:bookmarkEnd w:id="2"/>
    </w:p>
    <w:p w14:paraId="32B6A3A3" w14:textId="77777777" w:rsidR="00CE324E" w:rsidRPr="00DB0417" w:rsidRDefault="00CE324E" w:rsidP="00480322">
      <w:pPr>
        <w:tabs>
          <w:tab w:val="left" w:pos="-1440"/>
          <w:tab w:val="left" w:pos="-720"/>
          <w:tab w:val="left" w:pos="0"/>
          <w:tab w:val="left" w:pos="1142"/>
          <w:tab w:val="left" w:pos="1999"/>
        </w:tabs>
      </w:pPr>
    </w:p>
    <w:p w14:paraId="475829E9" w14:textId="3F84F240" w:rsidR="00480322" w:rsidRPr="00DB0417" w:rsidRDefault="00480322" w:rsidP="00480322">
      <w:pPr>
        <w:tabs>
          <w:tab w:val="left" w:pos="-1440"/>
          <w:tab w:val="left" w:pos="-720"/>
          <w:tab w:val="left" w:pos="0"/>
          <w:tab w:val="left" w:pos="1142"/>
          <w:tab w:val="left" w:pos="1999"/>
        </w:tabs>
      </w:pPr>
      <w:r w:rsidRPr="00DB0417">
        <w:t xml:space="preserve">The Governing Board and School Management are committed to ensuring that a </w:t>
      </w:r>
      <w:r w:rsidR="00CE324E" w:rsidRPr="00DB0417">
        <w:t>consistent</w:t>
      </w:r>
      <w:r w:rsidRPr="00DB0417">
        <w:t xml:space="preserve"> induction and probation process is followed for all new employees and those internally appointed in to a new post.</w:t>
      </w:r>
    </w:p>
    <w:p w14:paraId="1C4CAE45" w14:textId="77777777" w:rsidR="00480322" w:rsidRPr="00DB0417" w:rsidRDefault="00480322" w:rsidP="00480322">
      <w:pPr>
        <w:tabs>
          <w:tab w:val="left" w:pos="-1440"/>
          <w:tab w:val="left" w:pos="-720"/>
          <w:tab w:val="left" w:pos="0"/>
          <w:tab w:val="left" w:pos="1142"/>
          <w:tab w:val="left" w:pos="1999"/>
        </w:tabs>
        <w:jc w:val="both"/>
        <w:rPr>
          <w:b/>
          <w:sz w:val="26"/>
        </w:rPr>
      </w:pPr>
    </w:p>
    <w:p w14:paraId="44C6506D" w14:textId="442E655A" w:rsidR="00480322" w:rsidRPr="00DB0417" w:rsidRDefault="00480322" w:rsidP="00480322">
      <w:pPr>
        <w:tabs>
          <w:tab w:val="left" w:pos="-1440"/>
          <w:tab w:val="left" w:pos="-720"/>
          <w:tab w:val="left" w:pos="0"/>
          <w:tab w:val="left" w:pos="1142"/>
          <w:tab w:val="left" w:pos="1999"/>
        </w:tabs>
      </w:pPr>
      <w:r w:rsidRPr="00DB0417">
        <w:t>It is essential that an effective induction programme is devised for ALL staff (teaching and support staff), both for those who are taking up their first post and those who may be very experienced but are joining the school for the first time.  The programme should provide appropriate help, support and advice based on a consideration of the needs of the individual member of staff.  The type and amount of support needed will vary, however the Induction Checklist for school staff (which can be found in Appendix C) is suggested as a useful starting point.</w:t>
      </w:r>
    </w:p>
    <w:p w14:paraId="07084AC1" w14:textId="77777777" w:rsidR="00480322" w:rsidRPr="00DB0417" w:rsidRDefault="00480322" w:rsidP="00480322">
      <w:pPr>
        <w:tabs>
          <w:tab w:val="left" w:pos="-1440"/>
          <w:tab w:val="left" w:pos="-720"/>
          <w:tab w:val="left" w:pos="0"/>
          <w:tab w:val="left" w:pos="1142"/>
          <w:tab w:val="left" w:pos="1999"/>
        </w:tabs>
      </w:pPr>
    </w:p>
    <w:p w14:paraId="642889D4" w14:textId="215316AA" w:rsidR="00480322" w:rsidRPr="00DB0417" w:rsidRDefault="00480322" w:rsidP="00480322">
      <w:pPr>
        <w:tabs>
          <w:tab w:val="left" w:pos="-1440"/>
          <w:tab w:val="left" w:pos="-720"/>
          <w:tab w:val="left" w:pos="0"/>
          <w:tab w:val="left" w:pos="1142"/>
          <w:tab w:val="left" w:pos="1999"/>
        </w:tabs>
      </w:pPr>
      <w:r w:rsidRPr="00DB0417">
        <w:t xml:space="preserve">The specific arrangements for the induction of </w:t>
      </w:r>
      <w:r w:rsidR="00C95506">
        <w:t xml:space="preserve">Early Career </w:t>
      </w:r>
      <w:r w:rsidRPr="00DB0417">
        <w:t>Teacher</w:t>
      </w:r>
      <w:r w:rsidR="00C95506">
        <w:t>s</w:t>
      </w:r>
      <w:r w:rsidRPr="00DB0417">
        <w:t xml:space="preserve"> (</w:t>
      </w:r>
      <w:r w:rsidR="00C95506">
        <w:t>ECT</w:t>
      </w:r>
      <w:r w:rsidRPr="00DB0417">
        <w:t xml:space="preserve">s) can be accessed via </w:t>
      </w:r>
      <w:hyperlink r:id="rId8" w:history="1">
        <w:r w:rsidR="00C95506" w:rsidRPr="00C95506">
          <w:t>Induction for early career teachers (England)</w:t>
        </w:r>
      </w:hyperlink>
      <w:r w:rsidRPr="00DB0417">
        <w:t xml:space="preserve"> on the Gov.uk website.</w:t>
      </w:r>
    </w:p>
    <w:p w14:paraId="023C814E" w14:textId="77777777" w:rsidR="00480322" w:rsidRPr="00DB0417" w:rsidRDefault="00480322" w:rsidP="00480322">
      <w:pPr>
        <w:tabs>
          <w:tab w:val="left" w:pos="-1440"/>
          <w:tab w:val="left" w:pos="-720"/>
          <w:tab w:val="left" w:pos="0"/>
          <w:tab w:val="left" w:pos="1142"/>
          <w:tab w:val="left" w:pos="1999"/>
        </w:tabs>
      </w:pPr>
    </w:p>
    <w:p w14:paraId="31067D92" w14:textId="5A909875" w:rsidR="00480322" w:rsidRPr="00DB0417" w:rsidRDefault="00480322" w:rsidP="00480322">
      <w:pPr>
        <w:tabs>
          <w:tab w:val="left" w:pos="-1440"/>
          <w:tab w:val="left" w:pos="-720"/>
          <w:tab w:val="left" w:pos="0"/>
          <w:tab w:val="left" w:pos="1142"/>
          <w:tab w:val="left" w:pos="1999"/>
        </w:tabs>
      </w:pPr>
      <w:r w:rsidRPr="00DB0417">
        <w:t xml:space="preserve">Induction and probation are usually concurrent processes however, there is a significant difference between the two.  Assessment for probation is carried out to determine professional proficiency and to ensure that the individual </w:t>
      </w:r>
      <w:r w:rsidR="00CE324E" w:rsidRPr="00DB0417">
        <w:t>can</w:t>
      </w:r>
      <w:r w:rsidRPr="00DB0417">
        <w:t xml:space="preserve"> meet the minimum requirements of the job.</w:t>
      </w:r>
      <w:r w:rsidRPr="00DB0417">
        <w:rPr>
          <w:b/>
        </w:rPr>
        <w:t xml:space="preserve">  </w:t>
      </w:r>
      <w:r w:rsidRPr="00DB0417">
        <w:t>Induction is the starting point for learning about the new school and for long term professional development.</w:t>
      </w:r>
    </w:p>
    <w:p w14:paraId="610C09CD" w14:textId="77777777" w:rsidR="00480322" w:rsidRPr="00DB0417" w:rsidRDefault="00480322" w:rsidP="00480322">
      <w:pPr>
        <w:tabs>
          <w:tab w:val="left" w:pos="-1440"/>
          <w:tab w:val="left" w:pos="-720"/>
          <w:tab w:val="left" w:pos="0"/>
          <w:tab w:val="left" w:pos="1142"/>
          <w:tab w:val="left" w:pos="1999"/>
        </w:tabs>
      </w:pPr>
    </w:p>
    <w:p w14:paraId="25E0ED6B" w14:textId="6C0DCD0E" w:rsidR="00480322" w:rsidRPr="00DB0417" w:rsidRDefault="00480322" w:rsidP="00480322">
      <w:pPr>
        <w:tabs>
          <w:tab w:val="left" w:pos="-1440"/>
          <w:tab w:val="left" w:pos="-720"/>
          <w:tab w:val="left" w:pos="0"/>
          <w:tab w:val="left" w:pos="1142"/>
          <w:tab w:val="left" w:pos="1999"/>
        </w:tabs>
      </w:pPr>
      <w:r w:rsidRPr="00DB0417">
        <w:t xml:space="preserve">The importance of professional development for ALL staff cannot be over </w:t>
      </w:r>
      <w:r w:rsidR="00CE324E" w:rsidRPr="00DB0417">
        <w:t>emphasised</w:t>
      </w:r>
      <w:r w:rsidRPr="00DB0417">
        <w:t>.  This should begin with an effective induction programme, which may or may not be a part of formal probationary arrangements, and lead to systems of appraisal and job review, reinforced by appropriate training.</w:t>
      </w:r>
    </w:p>
    <w:p w14:paraId="4100E395" w14:textId="77777777" w:rsidR="00480322" w:rsidRPr="00DB0417" w:rsidRDefault="00480322" w:rsidP="00480322">
      <w:pPr>
        <w:tabs>
          <w:tab w:val="left" w:pos="-1440"/>
          <w:tab w:val="left" w:pos="-720"/>
          <w:tab w:val="left" w:pos="0"/>
          <w:tab w:val="left" w:pos="1142"/>
          <w:tab w:val="left" w:pos="1999"/>
        </w:tabs>
      </w:pPr>
    </w:p>
    <w:p w14:paraId="5A27B06E" w14:textId="77777777" w:rsidR="00480322" w:rsidRPr="00DB0417" w:rsidRDefault="00480322" w:rsidP="00480322">
      <w:pPr>
        <w:tabs>
          <w:tab w:val="left" w:pos="-1440"/>
          <w:tab w:val="left" w:pos="-720"/>
          <w:tab w:val="left" w:pos="0"/>
          <w:tab w:val="left" w:pos="1142"/>
          <w:tab w:val="left" w:pos="1999"/>
        </w:tabs>
      </w:pPr>
      <w:r w:rsidRPr="00DB0417">
        <w:t>An induction period is meant to ensure that new members of staff settle into their roles as quickly and effectively as possible. Tailor-made programmes have also been shown to increase staff retention.</w:t>
      </w:r>
    </w:p>
    <w:p w14:paraId="3FA85BFB" w14:textId="77777777" w:rsidR="00480322" w:rsidRPr="00DB0417" w:rsidRDefault="00480322" w:rsidP="00480322">
      <w:pPr>
        <w:tabs>
          <w:tab w:val="left" w:pos="-1440"/>
          <w:tab w:val="left" w:pos="-720"/>
          <w:tab w:val="left" w:pos="0"/>
          <w:tab w:val="left" w:pos="1142"/>
          <w:tab w:val="left" w:pos="1999"/>
        </w:tabs>
      </w:pPr>
    </w:p>
    <w:p w14:paraId="38DD74DD" w14:textId="77777777" w:rsidR="00480322" w:rsidRPr="00DB0417" w:rsidRDefault="00480322" w:rsidP="00480322">
      <w:pPr>
        <w:tabs>
          <w:tab w:val="left" w:pos="-1440"/>
          <w:tab w:val="left" w:pos="-720"/>
          <w:tab w:val="left" w:pos="0"/>
          <w:tab w:val="left" w:pos="1142"/>
          <w:tab w:val="left" w:pos="1999"/>
        </w:tabs>
      </w:pPr>
      <w:r w:rsidRPr="00DB0417">
        <w:t>A good induction programme:</w:t>
      </w:r>
    </w:p>
    <w:p w14:paraId="22D92378" w14:textId="77777777" w:rsidR="00480322" w:rsidRPr="00DB0417" w:rsidRDefault="00480322" w:rsidP="00480322">
      <w:pPr>
        <w:tabs>
          <w:tab w:val="left" w:pos="-1440"/>
          <w:tab w:val="left" w:pos="-720"/>
          <w:tab w:val="left" w:pos="0"/>
          <w:tab w:val="left" w:pos="1142"/>
          <w:tab w:val="left" w:pos="1999"/>
        </w:tabs>
      </w:pPr>
    </w:p>
    <w:p w14:paraId="7F327C9F" w14:textId="77777777" w:rsidR="00480322" w:rsidRPr="00DB0417" w:rsidRDefault="00480322" w:rsidP="005D4A3E">
      <w:pPr>
        <w:tabs>
          <w:tab w:val="left" w:pos="-1440"/>
          <w:tab w:val="left" w:pos="-720"/>
          <w:tab w:val="left" w:pos="0"/>
          <w:tab w:val="left" w:pos="1142"/>
          <w:tab w:val="left" w:pos="1999"/>
        </w:tabs>
        <w:ind w:left="851" w:hanging="131"/>
      </w:pPr>
      <w:r w:rsidRPr="00DB0417">
        <w:t>• Helps the individual understand their role, the department they work in and the organisation as a whole</w:t>
      </w:r>
    </w:p>
    <w:p w14:paraId="4EE3CB49" w14:textId="77777777" w:rsidR="00480322" w:rsidRPr="00DB0417" w:rsidRDefault="00480322" w:rsidP="00D062BB">
      <w:pPr>
        <w:tabs>
          <w:tab w:val="left" w:pos="-1440"/>
          <w:tab w:val="left" w:pos="-720"/>
          <w:tab w:val="left" w:pos="0"/>
          <w:tab w:val="left" w:pos="1142"/>
          <w:tab w:val="left" w:pos="1999"/>
        </w:tabs>
        <w:ind w:left="851" w:hanging="131"/>
      </w:pPr>
      <w:r w:rsidRPr="00DB0417">
        <w:t>• Familiarises them with the physical environment, the culture and the procedures that prevail</w:t>
      </w:r>
    </w:p>
    <w:p w14:paraId="13FA7C2D" w14:textId="076E534C" w:rsidR="00480322" w:rsidRPr="00687E9D" w:rsidRDefault="00480322" w:rsidP="00D062BB">
      <w:pPr>
        <w:tabs>
          <w:tab w:val="left" w:pos="-1440"/>
          <w:tab w:val="left" w:pos="-720"/>
          <w:tab w:val="left" w:pos="0"/>
          <w:tab w:val="left" w:pos="1142"/>
          <w:tab w:val="left" w:pos="1999"/>
        </w:tabs>
        <w:ind w:left="851" w:hanging="131"/>
      </w:pPr>
      <w:r w:rsidRPr="00687E9D">
        <w:t>• Makes sure they understand their legal responsibilities</w:t>
      </w:r>
      <w:r>
        <w:t xml:space="preserve"> (</w:t>
      </w:r>
      <w:r w:rsidR="00CE324E">
        <w:t>e.g.</w:t>
      </w:r>
      <w:r>
        <w:t xml:space="preserve"> </w:t>
      </w:r>
      <w:r>
        <w:rPr>
          <w:lang w:val="en-GB"/>
        </w:rPr>
        <w:t>Safeguarding</w:t>
      </w:r>
      <w:r w:rsidR="00D062BB">
        <w:rPr>
          <w:lang w:val="en-GB"/>
        </w:rPr>
        <w:t xml:space="preserve">, </w:t>
      </w:r>
      <w:r w:rsidR="005D4A3E">
        <w:rPr>
          <w:lang w:val="en-GB"/>
        </w:rPr>
        <w:t>GDPR and</w:t>
      </w:r>
      <w:r>
        <w:rPr>
          <w:lang w:val="en-GB"/>
        </w:rPr>
        <w:t xml:space="preserve"> Health &amp; Safety)</w:t>
      </w:r>
      <w:r>
        <w:t xml:space="preserve"> </w:t>
      </w:r>
    </w:p>
    <w:p w14:paraId="0B7A76DC" w14:textId="77777777" w:rsidR="00480322" w:rsidRDefault="00480322" w:rsidP="00480322">
      <w:pPr>
        <w:tabs>
          <w:tab w:val="left" w:pos="-1440"/>
          <w:tab w:val="left" w:pos="-720"/>
          <w:tab w:val="left" w:pos="0"/>
          <w:tab w:val="left" w:pos="1142"/>
          <w:tab w:val="left" w:pos="1999"/>
        </w:tabs>
      </w:pPr>
    </w:p>
    <w:p w14:paraId="742E8559" w14:textId="44BD44E6" w:rsidR="00480322" w:rsidRDefault="00480322" w:rsidP="00480322">
      <w:pPr>
        <w:tabs>
          <w:tab w:val="left" w:pos="-1440"/>
          <w:tab w:val="left" w:pos="-720"/>
          <w:tab w:val="left" w:pos="0"/>
          <w:tab w:val="left" w:pos="1142"/>
          <w:tab w:val="left" w:pos="1999"/>
        </w:tabs>
      </w:pPr>
      <w:r>
        <w:t xml:space="preserve">A probationary period provides a new employee with the opportunity to demonstrate </w:t>
      </w:r>
      <w:r>
        <w:lastRenderedPageBreak/>
        <w:t xml:space="preserve">that they </w:t>
      </w:r>
      <w:r w:rsidR="00CE324E">
        <w:t>can</w:t>
      </w:r>
      <w:r>
        <w:t xml:space="preserve"> do the job to which they have been appointed, and to apply the knowledge and skills the post required. </w:t>
      </w:r>
    </w:p>
    <w:p w14:paraId="37BEA6B6" w14:textId="77777777" w:rsidR="00480322" w:rsidRDefault="00480322" w:rsidP="00480322">
      <w:pPr>
        <w:tabs>
          <w:tab w:val="left" w:pos="-1440"/>
          <w:tab w:val="left" w:pos="-720"/>
          <w:tab w:val="left" w:pos="0"/>
          <w:tab w:val="left" w:pos="1142"/>
          <w:tab w:val="left" w:pos="1999"/>
        </w:tabs>
      </w:pPr>
    </w:p>
    <w:p w14:paraId="5EFA9787" w14:textId="6CD09133" w:rsidR="00CE324E" w:rsidRPr="00CE324E" w:rsidRDefault="00CE324E" w:rsidP="00CE324E">
      <w:pPr>
        <w:pStyle w:val="Heading2"/>
        <w:numPr>
          <w:ilvl w:val="0"/>
          <w:numId w:val="5"/>
        </w:numPr>
        <w:ind w:hanging="720"/>
        <w:rPr>
          <w:rFonts w:ascii="Arial" w:hAnsi="Arial" w:cs="Arial"/>
          <w:b/>
          <w:color w:val="auto"/>
          <w:sz w:val="24"/>
          <w:szCs w:val="24"/>
        </w:rPr>
      </w:pPr>
      <w:bookmarkStart w:id="3" w:name="_Toc516232273"/>
      <w:r>
        <w:rPr>
          <w:rFonts w:ascii="Arial" w:hAnsi="Arial" w:cs="Arial"/>
          <w:b/>
          <w:color w:val="auto"/>
          <w:sz w:val="24"/>
          <w:szCs w:val="24"/>
        </w:rPr>
        <w:t>SCOPE</w:t>
      </w:r>
      <w:bookmarkEnd w:id="3"/>
    </w:p>
    <w:p w14:paraId="4B66AFA4" w14:textId="7A8D0392" w:rsidR="00480322" w:rsidRPr="00DB0417" w:rsidRDefault="00480322" w:rsidP="00480322">
      <w:pPr>
        <w:widowControl/>
        <w:spacing w:before="120" w:after="120"/>
        <w:rPr>
          <w:rFonts w:cs="Arial"/>
        </w:rPr>
      </w:pPr>
      <w:r w:rsidRPr="006330F7">
        <w:rPr>
          <w:rFonts w:cs="Arial"/>
        </w:rPr>
        <w:t xml:space="preserve">This probationary </w:t>
      </w:r>
      <w:r>
        <w:rPr>
          <w:rFonts w:cs="Arial"/>
        </w:rPr>
        <w:t xml:space="preserve">policy </w:t>
      </w:r>
      <w:r w:rsidRPr="006330F7">
        <w:rPr>
          <w:rFonts w:cs="Arial"/>
        </w:rPr>
        <w:t>applies to all new support staff appointments</w:t>
      </w:r>
      <w:r>
        <w:rPr>
          <w:rFonts w:cs="Arial"/>
        </w:rPr>
        <w:t xml:space="preserve"> employed directly by the </w:t>
      </w:r>
      <w:r w:rsidRPr="00DB0417">
        <w:rPr>
          <w:rFonts w:cs="Arial"/>
        </w:rPr>
        <w:t xml:space="preserve">school, which are expected to last for at least </w:t>
      </w:r>
      <w:r w:rsidRPr="00DB0417">
        <w:rPr>
          <w:rFonts w:cs="Arial"/>
          <w:b/>
        </w:rPr>
        <w:t>six months.</w:t>
      </w:r>
      <w:r w:rsidRPr="00DB0417">
        <w:rPr>
          <w:rFonts w:cs="Arial"/>
        </w:rPr>
        <w:t xml:space="preserve">  These include:</w:t>
      </w:r>
    </w:p>
    <w:p w14:paraId="3D6D170C" w14:textId="77777777" w:rsidR="00480322" w:rsidRPr="00DB0417" w:rsidRDefault="00480322" w:rsidP="00480322">
      <w:pPr>
        <w:widowControl/>
        <w:numPr>
          <w:ilvl w:val="0"/>
          <w:numId w:val="3"/>
        </w:numPr>
        <w:spacing w:before="120" w:after="120"/>
        <w:rPr>
          <w:rFonts w:cs="Arial"/>
        </w:rPr>
      </w:pPr>
      <w:r w:rsidRPr="00DB0417">
        <w:rPr>
          <w:rFonts w:cs="Arial"/>
        </w:rPr>
        <w:t xml:space="preserve">internal employees who are appointed to posts following an internal or external advertisement; </w:t>
      </w:r>
    </w:p>
    <w:p w14:paraId="307596AE" w14:textId="77777777" w:rsidR="003273AA" w:rsidRPr="00DB0417" w:rsidRDefault="00480322" w:rsidP="00480322">
      <w:pPr>
        <w:widowControl/>
        <w:numPr>
          <w:ilvl w:val="0"/>
          <w:numId w:val="3"/>
        </w:numPr>
        <w:spacing w:before="120" w:after="120"/>
        <w:rPr>
          <w:rFonts w:cs="Arial"/>
        </w:rPr>
      </w:pPr>
      <w:r w:rsidRPr="00DB0417">
        <w:rPr>
          <w:rFonts w:cs="Arial"/>
        </w:rPr>
        <w:t>employees who apply for positions as part of a re-organisation (</w:t>
      </w:r>
    </w:p>
    <w:p w14:paraId="32643C35" w14:textId="5CE9109F" w:rsidR="003273AA" w:rsidRPr="00DB0417" w:rsidRDefault="00480322" w:rsidP="00480322">
      <w:pPr>
        <w:widowControl/>
        <w:numPr>
          <w:ilvl w:val="0"/>
          <w:numId w:val="3"/>
        </w:numPr>
        <w:spacing w:before="120" w:after="120"/>
        <w:rPr>
          <w:rFonts w:cs="Arial"/>
        </w:rPr>
      </w:pPr>
      <w:r w:rsidRPr="00DB0417">
        <w:rPr>
          <w:rFonts w:cs="Arial"/>
        </w:rPr>
        <w:t xml:space="preserve">where there is a match of less than </w:t>
      </w:r>
      <w:r w:rsidR="006241CC" w:rsidRPr="00DB0417">
        <w:rPr>
          <w:rFonts w:cs="Arial"/>
        </w:rPr>
        <w:t>80</w:t>
      </w:r>
      <w:r w:rsidRPr="00DB0417">
        <w:rPr>
          <w:rFonts w:cs="Arial"/>
        </w:rPr>
        <w:t>%).</w:t>
      </w:r>
      <w:r w:rsidR="003273AA" w:rsidRPr="00DB0417">
        <w:rPr>
          <w:rFonts w:cs="Arial"/>
        </w:rPr>
        <w:t xml:space="preserve">  (In accordance with Chapter 13 of the HR handbook follows relating to</w:t>
      </w:r>
      <w:r w:rsidR="003273AA" w:rsidRPr="00DB0417">
        <w:rPr>
          <w:lang w:val="en-GB"/>
        </w:rPr>
        <w:t xml:space="preserve"> Restructuring, Re-Organisation and Redundancy Policy, where staff accept redeployment within the </w:t>
      </w:r>
      <w:r w:rsidR="001E0F58" w:rsidRPr="00DB0417">
        <w:rPr>
          <w:lang w:val="en-GB"/>
        </w:rPr>
        <w:t>school,</w:t>
      </w:r>
      <w:r w:rsidR="003273AA" w:rsidRPr="00DB0417">
        <w:rPr>
          <w:lang w:val="en-GB"/>
        </w:rPr>
        <w:t xml:space="preserve"> they will be given an appropriate trial period in the new post.)</w:t>
      </w:r>
    </w:p>
    <w:p w14:paraId="69B8E88B" w14:textId="77777777" w:rsidR="003273AA" w:rsidRPr="00DB0417" w:rsidRDefault="003273AA" w:rsidP="003273AA">
      <w:pPr>
        <w:widowControl/>
        <w:spacing w:before="120" w:after="120"/>
        <w:ind w:left="720"/>
        <w:rPr>
          <w:rFonts w:cs="Arial"/>
        </w:rPr>
      </w:pPr>
    </w:p>
    <w:p w14:paraId="71D972EC" w14:textId="7EC88802" w:rsidR="00480322" w:rsidRPr="000E73D2" w:rsidRDefault="00480322" w:rsidP="00480322">
      <w:pPr>
        <w:widowControl/>
        <w:tabs>
          <w:tab w:val="num" w:pos="900"/>
        </w:tabs>
        <w:rPr>
          <w:rFonts w:cs="Arial"/>
        </w:rPr>
      </w:pPr>
      <w:r w:rsidRPr="00DB0417">
        <w:rPr>
          <w:rFonts w:cs="Arial"/>
        </w:rPr>
        <w:t xml:space="preserve">All new staff </w:t>
      </w:r>
      <w:r w:rsidR="00D062BB" w:rsidRPr="00DB0417">
        <w:rPr>
          <w:rFonts w:cs="Arial"/>
        </w:rPr>
        <w:t xml:space="preserve">will </w:t>
      </w:r>
      <w:r w:rsidRPr="00DB0417">
        <w:rPr>
          <w:rFonts w:cs="Arial"/>
        </w:rPr>
        <w:t xml:space="preserve">receive </w:t>
      </w:r>
      <w:r w:rsidRPr="006330F7">
        <w:rPr>
          <w:rFonts w:cs="Arial"/>
        </w:rPr>
        <w:t>a copy of this procedure or be advised where they can access it after starting with the School or within one month.</w:t>
      </w:r>
    </w:p>
    <w:p w14:paraId="3E1AC47E" w14:textId="77777777" w:rsidR="00480322" w:rsidRPr="006330F7" w:rsidRDefault="00480322" w:rsidP="00480322">
      <w:pPr>
        <w:widowControl/>
        <w:spacing w:before="120" w:after="120"/>
        <w:rPr>
          <w:rFonts w:cs="Arial"/>
        </w:rPr>
      </w:pPr>
    </w:p>
    <w:p w14:paraId="23F0D9E3" w14:textId="72E4110E" w:rsidR="00480322" w:rsidRPr="006330F7" w:rsidRDefault="00480322" w:rsidP="00480322">
      <w:pPr>
        <w:widowControl/>
        <w:spacing w:before="120" w:after="120"/>
        <w:rPr>
          <w:rFonts w:cs="Arial"/>
        </w:rPr>
      </w:pPr>
      <w:r w:rsidRPr="006330F7">
        <w:rPr>
          <w:rFonts w:cs="Arial"/>
        </w:rPr>
        <w:t xml:space="preserve">For the purposes of defining </w:t>
      </w:r>
      <w:r w:rsidR="00CE324E" w:rsidRPr="006330F7">
        <w:rPr>
          <w:rFonts w:cs="Arial"/>
        </w:rPr>
        <w:t>whether</w:t>
      </w:r>
      <w:r w:rsidRPr="006330F7">
        <w:rPr>
          <w:rFonts w:cs="Arial"/>
        </w:rPr>
        <w:t xml:space="preserve"> an employee is internal or new, please</w:t>
      </w:r>
      <w:r>
        <w:rPr>
          <w:rFonts w:cs="Arial"/>
        </w:rPr>
        <w:t xml:space="preserve"> refer</w:t>
      </w:r>
      <w:r w:rsidRPr="006330F7">
        <w:rPr>
          <w:rFonts w:cs="Arial"/>
        </w:rPr>
        <w:t xml:space="preserve"> the matrix below.</w:t>
      </w:r>
    </w:p>
    <w:p w14:paraId="69E39136" w14:textId="77777777" w:rsidR="00480322" w:rsidRPr="006330F7" w:rsidRDefault="00480322" w:rsidP="00480322">
      <w:pPr>
        <w:widowControl/>
        <w:spacing w:before="120" w:after="120"/>
        <w:rPr>
          <w:rFonts w:cs="Arial"/>
        </w:rPr>
      </w:pPr>
    </w:p>
    <w:tbl>
      <w:tblPr>
        <w:tblW w:w="5351" w:type="pct"/>
        <w:tblLayout w:type="fixed"/>
        <w:tblLook w:val="0000" w:firstRow="0" w:lastRow="0" w:firstColumn="0" w:lastColumn="0" w:noHBand="0" w:noVBand="0"/>
      </w:tblPr>
      <w:tblGrid>
        <w:gridCol w:w="1455"/>
        <w:gridCol w:w="2745"/>
        <w:gridCol w:w="2253"/>
        <w:gridCol w:w="2115"/>
        <w:gridCol w:w="1269"/>
      </w:tblGrid>
      <w:tr w:rsidR="00480322" w:rsidRPr="006330F7" w14:paraId="12636496" w14:textId="77777777" w:rsidTr="00905415">
        <w:trPr>
          <w:trHeight w:val="270"/>
        </w:trPr>
        <w:tc>
          <w:tcPr>
            <w:tcW w:w="740" w:type="pct"/>
            <w:tcBorders>
              <w:top w:val="nil"/>
              <w:left w:val="nil"/>
              <w:bottom w:val="nil"/>
              <w:right w:val="nil"/>
            </w:tcBorders>
            <w:shd w:val="clear" w:color="auto" w:fill="auto"/>
            <w:noWrap/>
            <w:vAlign w:val="bottom"/>
          </w:tcPr>
          <w:p w14:paraId="5A46A3DA" w14:textId="77777777" w:rsidR="00480322" w:rsidRPr="006330F7" w:rsidRDefault="00480322" w:rsidP="00905415">
            <w:pPr>
              <w:widowControl/>
              <w:rPr>
                <w:rFonts w:cs="Arial"/>
                <w:snapToGrid/>
                <w:sz w:val="20"/>
                <w:lang w:val="en-GB" w:eastAsia="en-GB"/>
              </w:rPr>
            </w:pPr>
          </w:p>
        </w:tc>
        <w:tc>
          <w:tcPr>
            <w:tcW w:w="1395" w:type="pct"/>
            <w:tcBorders>
              <w:top w:val="nil"/>
              <w:left w:val="nil"/>
              <w:bottom w:val="nil"/>
              <w:right w:val="nil"/>
            </w:tcBorders>
            <w:shd w:val="clear" w:color="auto" w:fill="auto"/>
            <w:noWrap/>
            <w:vAlign w:val="bottom"/>
          </w:tcPr>
          <w:p w14:paraId="6308B6DD" w14:textId="77777777" w:rsidR="00480322" w:rsidRPr="006330F7" w:rsidRDefault="00480322" w:rsidP="00905415">
            <w:pPr>
              <w:widowControl/>
              <w:rPr>
                <w:rFonts w:cs="Arial"/>
                <w:snapToGrid/>
                <w:sz w:val="20"/>
                <w:lang w:val="en-GB" w:eastAsia="en-GB"/>
              </w:rPr>
            </w:pPr>
          </w:p>
        </w:tc>
        <w:tc>
          <w:tcPr>
            <w:tcW w:w="1145" w:type="pct"/>
            <w:tcBorders>
              <w:top w:val="nil"/>
              <w:left w:val="nil"/>
              <w:bottom w:val="nil"/>
              <w:right w:val="nil"/>
            </w:tcBorders>
            <w:shd w:val="clear" w:color="auto" w:fill="auto"/>
            <w:noWrap/>
            <w:vAlign w:val="bottom"/>
          </w:tcPr>
          <w:p w14:paraId="605C1FDD" w14:textId="77777777" w:rsidR="00480322" w:rsidRPr="006330F7" w:rsidRDefault="00480322" w:rsidP="00905415">
            <w:pPr>
              <w:widowControl/>
              <w:rPr>
                <w:rFonts w:cs="Arial"/>
                <w:snapToGrid/>
                <w:sz w:val="20"/>
                <w:lang w:val="en-GB" w:eastAsia="en-GB"/>
              </w:rPr>
            </w:pPr>
            <w:r w:rsidRPr="006330F7">
              <w:rPr>
                <w:rFonts w:cs="Arial"/>
                <w:b/>
                <w:bCs/>
                <w:snapToGrid/>
                <w:sz w:val="20"/>
                <w:lang w:val="en-GB" w:eastAsia="en-GB"/>
              </w:rPr>
              <w:t>Your school</w:t>
            </w:r>
          </w:p>
        </w:tc>
        <w:tc>
          <w:tcPr>
            <w:tcW w:w="1075" w:type="pct"/>
            <w:tcBorders>
              <w:top w:val="nil"/>
              <w:left w:val="nil"/>
              <w:bottom w:val="nil"/>
              <w:right w:val="nil"/>
            </w:tcBorders>
            <w:shd w:val="clear" w:color="auto" w:fill="auto"/>
            <w:noWrap/>
            <w:vAlign w:val="bottom"/>
          </w:tcPr>
          <w:p w14:paraId="493F4A7C" w14:textId="77777777" w:rsidR="00480322" w:rsidRPr="006330F7" w:rsidRDefault="00480322" w:rsidP="00905415">
            <w:pPr>
              <w:widowControl/>
              <w:rPr>
                <w:rFonts w:cs="Arial"/>
                <w:b/>
                <w:bCs/>
                <w:snapToGrid/>
                <w:sz w:val="20"/>
                <w:lang w:val="en-GB" w:eastAsia="en-GB"/>
              </w:rPr>
            </w:pPr>
          </w:p>
        </w:tc>
        <w:tc>
          <w:tcPr>
            <w:tcW w:w="645" w:type="pct"/>
            <w:tcBorders>
              <w:top w:val="nil"/>
              <w:left w:val="nil"/>
              <w:bottom w:val="nil"/>
              <w:right w:val="nil"/>
            </w:tcBorders>
            <w:shd w:val="clear" w:color="auto" w:fill="auto"/>
            <w:noWrap/>
            <w:vAlign w:val="bottom"/>
          </w:tcPr>
          <w:p w14:paraId="1C1951CA" w14:textId="77777777" w:rsidR="00480322" w:rsidRPr="006330F7" w:rsidRDefault="00480322" w:rsidP="00905415">
            <w:pPr>
              <w:widowControl/>
              <w:rPr>
                <w:rFonts w:cs="Arial"/>
                <w:snapToGrid/>
                <w:sz w:val="20"/>
                <w:lang w:val="en-GB" w:eastAsia="en-GB"/>
              </w:rPr>
            </w:pPr>
          </w:p>
        </w:tc>
      </w:tr>
      <w:tr w:rsidR="00480322" w:rsidRPr="006330F7" w14:paraId="4935F82E" w14:textId="77777777" w:rsidTr="00905415">
        <w:trPr>
          <w:trHeight w:val="270"/>
        </w:trPr>
        <w:tc>
          <w:tcPr>
            <w:tcW w:w="740" w:type="pct"/>
            <w:tcBorders>
              <w:top w:val="nil"/>
              <w:left w:val="nil"/>
              <w:bottom w:val="nil"/>
              <w:right w:val="nil"/>
            </w:tcBorders>
            <w:shd w:val="clear" w:color="auto" w:fill="auto"/>
            <w:noWrap/>
            <w:vAlign w:val="bottom"/>
          </w:tcPr>
          <w:p w14:paraId="0A169CCC" w14:textId="77777777" w:rsidR="00480322" w:rsidRPr="006330F7" w:rsidRDefault="00480322" w:rsidP="00905415">
            <w:pPr>
              <w:widowControl/>
              <w:rPr>
                <w:rFonts w:cs="Arial"/>
                <w:snapToGrid/>
                <w:sz w:val="20"/>
                <w:lang w:val="en-GB" w:eastAsia="en-GB"/>
              </w:rPr>
            </w:pPr>
          </w:p>
        </w:tc>
        <w:tc>
          <w:tcPr>
            <w:tcW w:w="1395" w:type="pct"/>
            <w:tcBorders>
              <w:top w:val="single" w:sz="8" w:space="0" w:color="auto"/>
              <w:left w:val="single" w:sz="8" w:space="0" w:color="auto"/>
              <w:bottom w:val="nil"/>
              <w:right w:val="nil"/>
            </w:tcBorders>
            <w:shd w:val="clear" w:color="auto" w:fill="auto"/>
            <w:noWrap/>
            <w:vAlign w:val="bottom"/>
          </w:tcPr>
          <w:p w14:paraId="2089EA78"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 </w:t>
            </w:r>
          </w:p>
        </w:tc>
        <w:tc>
          <w:tcPr>
            <w:tcW w:w="1145" w:type="pct"/>
            <w:tcBorders>
              <w:top w:val="single" w:sz="8" w:space="0" w:color="auto"/>
              <w:left w:val="single" w:sz="8" w:space="0" w:color="auto"/>
              <w:bottom w:val="nil"/>
              <w:right w:val="single" w:sz="4" w:space="0" w:color="auto"/>
            </w:tcBorders>
            <w:shd w:val="clear" w:color="auto" w:fill="auto"/>
            <w:noWrap/>
            <w:vAlign w:val="bottom"/>
          </w:tcPr>
          <w:p w14:paraId="65F4C573"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Community / Voluntary controlled</w:t>
            </w:r>
          </w:p>
        </w:tc>
        <w:tc>
          <w:tcPr>
            <w:tcW w:w="1075" w:type="pct"/>
            <w:tcBorders>
              <w:top w:val="single" w:sz="8" w:space="0" w:color="auto"/>
              <w:left w:val="nil"/>
              <w:bottom w:val="nil"/>
              <w:right w:val="single" w:sz="4" w:space="0" w:color="auto"/>
            </w:tcBorders>
            <w:shd w:val="clear" w:color="auto" w:fill="auto"/>
            <w:noWrap/>
            <w:vAlign w:val="bottom"/>
          </w:tcPr>
          <w:p w14:paraId="7A47AE08"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Foundation or VA</w:t>
            </w:r>
          </w:p>
        </w:tc>
        <w:tc>
          <w:tcPr>
            <w:tcW w:w="645" w:type="pct"/>
            <w:tcBorders>
              <w:top w:val="single" w:sz="8" w:space="0" w:color="auto"/>
              <w:left w:val="nil"/>
              <w:bottom w:val="nil"/>
              <w:right w:val="single" w:sz="8" w:space="0" w:color="auto"/>
            </w:tcBorders>
            <w:shd w:val="clear" w:color="auto" w:fill="auto"/>
            <w:noWrap/>
            <w:vAlign w:val="bottom"/>
          </w:tcPr>
          <w:p w14:paraId="2AEC6045"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Academy/ Multi Academy Trust</w:t>
            </w:r>
          </w:p>
        </w:tc>
      </w:tr>
      <w:tr w:rsidR="00480322" w:rsidRPr="006330F7" w14:paraId="3F9F7BEE" w14:textId="77777777" w:rsidTr="00905415">
        <w:trPr>
          <w:trHeight w:val="255"/>
        </w:trPr>
        <w:tc>
          <w:tcPr>
            <w:tcW w:w="740" w:type="pct"/>
            <w:tcBorders>
              <w:top w:val="nil"/>
              <w:left w:val="nil"/>
              <w:bottom w:val="nil"/>
              <w:right w:val="nil"/>
            </w:tcBorders>
            <w:shd w:val="clear" w:color="auto" w:fill="auto"/>
            <w:noWrap/>
            <w:vAlign w:val="bottom"/>
          </w:tcPr>
          <w:p w14:paraId="367ED0A2" w14:textId="77777777" w:rsidR="00480322" w:rsidRPr="006330F7" w:rsidRDefault="00480322" w:rsidP="00905415">
            <w:pPr>
              <w:widowControl/>
              <w:rPr>
                <w:rFonts w:cs="Arial"/>
                <w:snapToGrid/>
                <w:sz w:val="20"/>
                <w:lang w:val="en-GB" w:eastAsia="en-GB"/>
              </w:rPr>
            </w:pPr>
          </w:p>
        </w:tc>
        <w:tc>
          <w:tcPr>
            <w:tcW w:w="1395" w:type="pct"/>
            <w:tcBorders>
              <w:top w:val="single" w:sz="8" w:space="0" w:color="auto"/>
              <w:left w:val="single" w:sz="8" w:space="0" w:color="auto"/>
              <w:bottom w:val="single" w:sz="4" w:space="0" w:color="auto"/>
              <w:right w:val="nil"/>
            </w:tcBorders>
            <w:shd w:val="clear" w:color="auto" w:fill="auto"/>
            <w:noWrap/>
            <w:vAlign w:val="bottom"/>
          </w:tcPr>
          <w:p w14:paraId="3A169B1D"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Community / Voluntary Controlled</w:t>
            </w:r>
          </w:p>
        </w:tc>
        <w:tc>
          <w:tcPr>
            <w:tcW w:w="1145" w:type="pct"/>
            <w:tcBorders>
              <w:top w:val="single" w:sz="8" w:space="0" w:color="auto"/>
              <w:left w:val="single" w:sz="8" w:space="0" w:color="auto"/>
              <w:bottom w:val="single" w:sz="4" w:space="0" w:color="auto"/>
              <w:right w:val="single" w:sz="4" w:space="0" w:color="auto"/>
            </w:tcBorders>
            <w:shd w:val="clear" w:color="auto" w:fill="auto"/>
            <w:noWrap/>
            <w:vAlign w:val="bottom"/>
          </w:tcPr>
          <w:p w14:paraId="10496D39" w14:textId="77777777" w:rsidR="00480322" w:rsidRPr="006330F7" w:rsidRDefault="00480322" w:rsidP="00905415">
            <w:pPr>
              <w:widowControl/>
              <w:rPr>
                <w:rFonts w:cs="Arial"/>
                <w:snapToGrid/>
                <w:color w:val="FF0000"/>
                <w:sz w:val="20"/>
                <w:lang w:val="en-GB" w:eastAsia="en-GB"/>
              </w:rPr>
            </w:pPr>
            <w:r w:rsidRPr="00DB0417">
              <w:rPr>
                <w:rFonts w:cs="Arial"/>
                <w:snapToGrid/>
                <w:color w:val="0070C0"/>
                <w:sz w:val="20"/>
                <w:lang w:val="en-GB" w:eastAsia="en-GB"/>
              </w:rPr>
              <w:t>Internal</w:t>
            </w:r>
          </w:p>
        </w:tc>
        <w:tc>
          <w:tcPr>
            <w:tcW w:w="1075" w:type="pct"/>
            <w:tcBorders>
              <w:top w:val="single" w:sz="8" w:space="0" w:color="auto"/>
              <w:left w:val="nil"/>
              <w:bottom w:val="single" w:sz="4" w:space="0" w:color="auto"/>
              <w:right w:val="single" w:sz="4" w:space="0" w:color="auto"/>
            </w:tcBorders>
            <w:shd w:val="clear" w:color="auto" w:fill="auto"/>
            <w:noWrap/>
            <w:vAlign w:val="bottom"/>
          </w:tcPr>
          <w:p w14:paraId="6BEFD455" w14:textId="77777777" w:rsidR="00480322" w:rsidRPr="006330F7" w:rsidRDefault="00480322" w:rsidP="00905415">
            <w:pPr>
              <w:widowControl/>
              <w:rPr>
                <w:rFonts w:cs="Arial"/>
                <w:snapToGrid/>
                <w:color w:val="008000"/>
                <w:sz w:val="20"/>
                <w:lang w:val="en-GB" w:eastAsia="en-GB"/>
              </w:rPr>
            </w:pPr>
            <w:r w:rsidRPr="006330F7">
              <w:rPr>
                <w:rFonts w:cs="Arial"/>
                <w:snapToGrid/>
                <w:color w:val="008000"/>
                <w:sz w:val="20"/>
                <w:lang w:val="en-GB" w:eastAsia="en-GB"/>
              </w:rPr>
              <w:t>New</w:t>
            </w:r>
          </w:p>
        </w:tc>
        <w:tc>
          <w:tcPr>
            <w:tcW w:w="645" w:type="pct"/>
            <w:tcBorders>
              <w:top w:val="single" w:sz="8" w:space="0" w:color="auto"/>
              <w:left w:val="nil"/>
              <w:bottom w:val="single" w:sz="4" w:space="0" w:color="auto"/>
              <w:right w:val="single" w:sz="8" w:space="0" w:color="auto"/>
            </w:tcBorders>
            <w:shd w:val="clear" w:color="auto" w:fill="auto"/>
            <w:noWrap/>
            <w:vAlign w:val="bottom"/>
          </w:tcPr>
          <w:p w14:paraId="6AB1BCA8"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r>
      <w:tr w:rsidR="00480322" w:rsidRPr="006330F7" w14:paraId="0FFDA4AB" w14:textId="77777777" w:rsidTr="00905415">
        <w:trPr>
          <w:trHeight w:val="255"/>
        </w:trPr>
        <w:tc>
          <w:tcPr>
            <w:tcW w:w="740" w:type="pct"/>
            <w:tcBorders>
              <w:top w:val="nil"/>
              <w:left w:val="nil"/>
              <w:bottom w:val="nil"/>
              <w:right w:val="nil"/>
            </w:tcBorders>
            <w:shd w:val="clear" w:color="auto" w:fill="auto"/>
            <w:noWrap/>
            <w:vAlign w:val="bottom"/>
          </w:tcPr>
          <w:p w14:paraId="64623FD0" w14:textId="77777777" w:rsidR="00480322" w:rsidRPr="006330F7" w:rsidRDefault="00480322" w:rsidP="00905415">
            <w:pPr>
              <w:widowControl/>
              <w:rPr>
                <w:rFonts w:cs="Arial"/>
                <w:b/>
                <w:bCs/>
                <w:snapToGrid/>
                <w:sz w:val="20"/>
                <w:lang w:val="en-GB" w:eastAsia="en-GB"/>
              </w:rPr>
            </w:pPr>
            <w:r w:rsidRPr="006330F7">
              <w:rPr>
                <w:rFonts w:cs="Arial"/>
                <w:b/>
                <w:bCs/>
                <w:snapToGrid/>
                <w:sz w:val="20"/>
                <w:lang w:val="en-GB" w:eastAsia="en-GB"/>
              </w:rPr>
              <w:t>Coming from</w:t>
            </w:r>
          </w:p>
        </w:tc>
        <w:tc>
          <w:tcPr>
            <w:tcW w:w="1395" w:type="pct"/>
            <w:tcBorders>
              <w:top w:val="nil"/>
              <w:left w:val="single" w:sz="8" w:space="0" w:color="auto"/>
              <w:bottom w:val="single" w:sz="4" w:space="0" w:color="auto"/>
              <w:right w:val="nil"/>
            </w:tcBorders>
            <w:shd w:val="clear" w:color="auto" w:fill="auto"/>
            <w:noWrap/>
            <w:vAlign w:val="bottom"/>
          </w:tcPr>
          <w:p w14:paraId="2836ED0D"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Foundation or VA</w:t>
            </w:r>
          </w:p>
        </w:tc>
        <w:tc>
          <w:tcPr>
            <w:tcW w:w="1145" w:type="pct"/>
            <w:tcBorders>
              <w:top w:val="nil"/>
              <w:left w:val="single" w:sz="8" w:space="0" w:color="auto"/>
              <w:bottom w:val="single" w:sz="4" w:space="0" w:color="auto"/>
              <w:right w:val="single" w:sz="4" w:space="0" w:color="auto"/>
            </w:tcBorders>
            <w:shd w:val="clear" w:color="auto" w:fill="auto"/>
            <w:noWrap/>
            <w:vAlign w:val="bottom"/>
          </w:tcPr>
          <w:p w14:paraId="5E30C112" w14:textId="1D3E370F" w:rsidR="00480322" w:rsidRPr="00DB0417" w:rsidRDefault="006241CC" w:rsidP="00905415">
            <w:pPr>
              <w:widowControl/>
              <w:rPr>
                <w:rFonts w:cs="Arial"/>
                <w:snapToGrid/>
                <w:color w:val="008000"/>
                <w:sz w:val="20"/>
                <w:lang w:val="en-GB" w:eastAsia="en-GB"/>
              </w:rPr>
            </w:pPr>
            <w:r w:rsidRPr="006330F7">
              <w:rPr>
                <w:rFonts w:cs="Arial"/>
                <w:snapToGrid/>
                <w:color w:val="008000"/>
                <w:sz w:val="20"/>
                <w:lang w:val="en-GB" w:eastAsia="en-GB"/>
              </w:rPr>
              <w:t>New</w:t>
            </w:r>
          </w:p>
        </w:tc>
        <w:tc>
          <w:tcPr>
            <w:tcW w:w="1075" w:type="pct"/>
            <w:tcBorders>
              <w:top w:val="nil"/>
              <w:left w:val="nil"/>
              <w:bottom w:val="single" w:sz="4" w:space="0" w:color="auto"/>
              <w:right w:val="single" w:sz="4" w:space="0" w:color="auto"/>
            </w:tcBorders>
            <w:shd w:val="clear" w:color="auto" w:fill="auto"/>
            <w:noWrap/>
            <w:vAlign w:val="bottom"/>
          </w:tcPr>
          <w:p w14:paraId="0F6BB5F8" w14:textId="77777777" w:rsidR="00480322" w:rsidRPr="006330F7" w:rsidRDefault="00480322" w:rsidP="00905415">
            <w:pPr>
              <w:widowControl/>
              <w:rPr>
                <w:rFonts w:cs="Arial"/>
                <w:snapToGrid/>
                <w:color w:val="008000"/>
                <w:sz w:val="20"/>
                <w:lang w:val="en-GB" w:eastAsia="en-GB"/>
              </w:rPr>
            </w:pPr>
            <w:r w:rsidRPr="006330F7">
              <w:rPr>
                <w:rFonts w:cs="Arial"/>
                <w:snapToGrid/>
                <w:color w:val="008000"/>
                <w:sz w:val="20"/>
                <w:lang w:val="en-GB" w:eastAsia="en-GB"/>
              </w:rPr>
              <w:t>New</w:t>
            </w:r>
          </w:p>
        </w:tc>
        <w:tc>
          <w:tcPr>
            <w:tcW w:w="645" w:type="pct"/>
            <w:tcBorders>
              <w:top w:val="nil"/>
              <w:left w:val="nil"/>
              <w:bottom w:val="single" w:sz="4" w:space="0" w:color="auto"/>
              <w:right w:val="single" w:sz="8" w:space="0" w:color="auto"/>
            </w:tcBorders>
            <w:shd w:val="clear" w:color="auto" w:fill="auto"/>
            <w:noWrap/>
            <w:vAlign w:val="bottom"/>
          </w:tcPr>
          <w:p w14:paraId="3230AA2F"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r>
      <w:tr w:rsidR="00480322" w:rsidRPr="006330F7" w14:paraId="165CD056" w14:textId="77777777" w:rsidTr="00905415">
        <w:trPr>
          <w:trHeight w:val="255"/>
        </w:trPr>
        <w:tc>
          <w:tcPr>
            <w:tcW w:w="740" w:type="pct"/>
            <w:tcBorders>
              <w:top w:val="nil"/>
              <w:left w:val="nil"/>
              <w:bottom w:val="nil"/>
              <w:right w:val="nil"/>
            </w:tcBorders>
            <w:shd w:val="clear" w:color="auto" w:fill="auto"/>
            <w:noWrap/>
            <w:vAlign w:val="bottom"/>
          </w:tcPr>
          <w:p w14:paraId="10A2F490" w14:textId="77777777" w:rsidR="00480322" w:rsidRPr="006330F7" w:rsidRDefault="00480322" w:rsidP="00905415">
            <w:pPr>
              <w:widowControl/>
              <w:rPr>
                <w:rFonts w:cs="Arial"/>
                <w:snapToGrid/>
                <w:sz w:val="20"/>
                <w:lang w:val="en-GB" w:eastAsia="en-GB"/>
              </w:rPr>
            </w:pPr>
          </w:p>
        </w:tc>
        <w:tc>
          <w:tcPr>
            <w:tcW w:w="1395" w:type="pct"/>
            <w:tcBorders>
              <w:top w:val="nil"/>
              <w:left w:val="single" w:sz="8" w:space="0" w:color="auto"/>
              <w:bottom w:val="single" w:sz="4" w:space="0" w:color="auto"/>
              <w:right w:val="nil"/>
            </w:tcBorders>
            <w:shd w:val="clear" w:color="auto" w:fill="auto"/>
            <w:noWrap/>
            <w:vAlign w:val="bottom"/>
          </w:tcPr>
          <w:p w14:paraId="568CF3E1"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Academy</w:t>
            </w:r>
          </w:p>
        </w:tc>
        <w:tc>
          <w:tcPr>
            <w:tcW w:w="1145" w:type="pct"/>
            <w:tcBorders>
              <w:top w:val="nil"/>
              <w:left w:val="single" w:sz="8" w:space="0" w:color="auto"/>
              <w:bottom w:val="single" w:sz="4" w:space="0" w:color="auto"/>
              <w:right w:val="single" w:sz="4" w:space="0" w:color="auto"/>
            </w:tcBorders>
            <w:shd w:val="clear" w:color="auto" w:fill="auto"/>
            <w:noWrap/>
            <w:vAlign w:val="bottom"/>
          </w:tcPr>
          <w:p w14:paraId="7874E816"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c>
          <w:tcPr>
            <w:tcW w:w="1075" w:type="pct"/>
            <w:tcBorders>
              <w:top w:val="nil"/>
              <w:left w:val="nil"/>
              <w:bottom w:val="single" w:sz="4" w:space="0" w:color="auto"/>
              <w:right w:val="single" w:sz="4" w:space="0" w:color="auto"/>
            </w:tcBorders>
            <w:shd w:val="clear" w:color="auto" w:fill="auto"/>
            <w:noWrap/>
            <w:vAlign w:val="bottom"/>
          </w:tcPr>
          <w:p w14:paraId="37F87CAB"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c>
          <w:tcPr>
            <w:tcW w:w="645" w:type="pct"/>
            <w:tcBorders>
              <w:top w:val="nil"/>
              <w:left w:val="nil"/>
              <w:bottom w:val="single" w:sz="4" w:space="0" w:color="auto"/>
              <w:right w:val="single" w:sz="8" w:space="0" w:color="auto"/>
            </w:tcBorders>
            <w:shd w:val="clear" w:color="auto" w:fill="auto"/>
            <w:noWrap/>
            <w:vAlign w:val="bottom"/>
          </w:tcPr>
          <w:p w14:paraId="52D37C85"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r>
      <w:tr w:rsidR="00480322" w:rsidRPr="006330F7" w14:paraId="0B911386" w14:textId="77777777" w:rsidTr="00905415">
        <w:trPr>
          <w:trHeight w:val="255"/>
        </w:trPr>
        <w:tc>
          <w:tcPr>
            <w:tcW w:w="740" w:type="pct"/>
            <w:tcBorders>
              <w:top w:val="nil"/>
              <w:left w:val="nil"/>
              <w:bottom w:val="nil"/>
              <w:right w:val="nil"/>
            </w:tcBorders>
            <w:shd w:val="clear" w:color="auto" w:fill="auto"/>
            <w:noWrap/>
            <w:vAlign w:val="bottom"/>
          </w:tcPr>
          <w:p w14:paraId="01B13ACE" w14:textId="77777777" w:rsidR="00480322" w:rsidRPr="006330F7" w:rsidRDefault="00480322" w:rsidP="00905415">
            <w:pPr>
              <w:widowControl/>
              <w:rPr>
                <w:rFonts w:cs="Arial"/>
                <w:snapToGrid/>
                <w:sz w:val="20"/>
                <w:lang w:val="en-GB" w:eastAsia="en-GB"/>
              </w:rPr>
            </w:pPr>
          </w:p>
        </w:tc>
        <w:tc>
          <w:tcPr>
            <w:tcW w:w="1395" w:type="pct"/>
            <w:tcBorders>
              <w:top w:val="nil"/>
              <w:left w:val="single" w:sz="8" w:space="0" w:color="auto"/>
              <w:bottom w:val="single" w:sz="4" w:space="0" w:color="auto"/>
              <w:right w:val="nil"/>
            </w:tcBorders>
            <w:shd w:val="clear" w:color="auto" w:fill="auto"/>
            <w:noWrap/>
            <w:vAlign w:val="bottom"/>
          </w:tcPr>
          <w:p w14:paraId="07298FDC"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Council</w:t>
            </w:r>
          </w:p>
        </w:tc>
        <w:tc>
          <w:tcPr>
            <w:tcW w:w="1145" w:type="pct"/>
            <w:tcBorders>
              <w:top w:val="nil"/>
              <w:left w:val="single" w:sz="8" w:space="0" w:color="auto"/>
              <w:bottom w:val="single" w:sz="4" w:space="0" w:color="auto"/>
              <w:right w:val="single" w:sz="4" w:space="0" w:color="auto"/>
            </w:tcBorders>
            <w:shd w:val="clear" w:color="auto" w:fill="auto"/>
            <w:noWrap/>
            <w:vAlign w:val="bottom"/>
          </w:tcPr>
          <w:p w14:paraId="6080A60A" w14:textId="77777777" w:rsidR="00480322" w:rsidRPr="00DB0417" w:rsidRDefault="00480322" w:rsidP="00905415">
            <w:pPr>
              <w:widowControl/>
              <w:rPr>
                <w:rFonts w:cs="Arial"/>
                <w:snapToGrid/>
                <w:color w:val="0070C0"/>
                <w:sz w:val="20"/>
                <w:lang w:val="en-GB" w:eastAsia="en-GB"/>
              </w:rPr>
            </w:pPr>
            <w:r w:rsidRPr="00DB0417">
              <w:rPr>
                <w:rFonts w:cs="Arial"/>
                <w:snapToGrid/>
                <w:color w:val="0070C0"/>
                <w:sz w:val="20"/>
                <w:lang w:val="en-GB" w:eastAsia="en-GB"/>
              </w:rPr>
              <w:t>Internal</w:t>
            </w:r>
          </w:p>
        </w:tc>
        <w:tc>
          <w:tcPr>
            <w:tcW w:w="1075" w:type="pct"/>
            <w:tcBorders>
              <w:top w:val="nil"/>
              <w:left w:val="nil"/>
              <w:bottom w:val="single" w:sz="4" w:space="0" w:color="auto"/>
              <w:right w:val="single" w:sz="4" w:space="0" w:color="auto"/>
            </w:tcBorders>
            <w:shd w:val="clear" w:color="auto" w:fill="auto"/>
            <w:noWrap/>
            <w:vAlign w:val="bottom"/>
          </w:tcPr>
          <w:p w14:paraId="426ECA87" w14:textId="77777777" w:rsidR="00480322" w:rsidRPr="006330F7" w:rsidRDefault="00480322" w:rsidP="00905415">
            <w:pPr>
              <w:widowControl/>
              <w:rPr>
                <w:rFonts w:cs="Arial"/>
                <w:snapToGrid/>
                <w:color w:val="008000"/>
                <w:sz w:val="20"/>
                <w:lang w:val="en-GB" w:eastAsia="en-GB"/>
              </w:rPr>
            </w:pPr>
            <w:r w:rsidRPr="006330F7">
              <w:rPr>
                <w:rFonts w:cs="Arial"/>
                <w:snapToGrid/>
                <w:color w:val="008000"/>
                <w:sz w:val="20"/>
                <w:lang w:val="en-GB" w:eastAsia="en-GB"/>
              </w:rPr>
              <w:t>New</w:t>
            </w:r>
          </w:p>
        </w:tc>
        <w:tc>
          <w:tcPr>
            <w:tcW w:w="645" w:type="pct"/>
            <w:tcBorders>
              <w:top w:val="nil"/>
              <w:left w:val="nil"/>
              <w:bottom w:val="single" w:sz="4" w:space="0" w:color="auto"/>
              <w:right w:val="single" w:sz="8" w:space="0" w:color="auto"/>
            </w:tcBorders>
            <w:shd w:val="clear" w:color="auto" w:fill="auto"/>
            <w:noWrap/>
            <w:vAlign w:val="bottom"/>
          </w:tcPr>
          <w:p w14:paraId="2F5C8618" w14:textId="77777777" w:rsidR="00480322" w:rsidRPr="006330F7" w:rsidRDefault="00480322" w:rsidP="00905415">
            <w:pPr>
              <w:widowControl/>
              <w:rPr>
                <w:rFonts w:cs="Arial"/>
                <w:snapToGrid/>
                <w:color w:val="339966"/>
                <w:sz w:val="20"/>
                <w:lang w:val="en-GB" w:eastAsia="en-GB"/>
              </w:rPr>
            </w:pPr>
            <w:r w:rsidRPr="006330F7">
              <w:rPr>
                <w:rFonts w:cs="Arial"/>
                <w:snapToGrid/>
                <w:color w:val="339966"/>
                <w:sz w:val="20"/>
                <w:lang w:val="en-GB" w:eastAsia="en-GB"/>
              </w:rPr>
              <w:t>New</w:t>
            </w:r>
          </w:p>
        </w:tc>
      </w:tr>
      <w:tr w:rsidR="00480322" w:rsidRPr="006330F7" w14:paraId="6DA3CB55" w14:textId="77777777" w:rsidTr="00905415">
        <w:trPr>
          <w:trHeight w:val="255"/>
        </w:trPr>
        <w:tc>
          <w:tcPr>
            <w:tcW w:w="740" w:type="pct"/>
            <w:tcBorders>
              <w:top w:val="nil"/>
              <w:left w:val="nil"/>
              <w:bottom w:val="nil"/>
              <w:right w:val="nil"/>
            </w:tcBorders>
            <w:shd w:val="clear" w:color="auto" w:fill="auto"/>
            <w:noWrap/>
            <w:vAlign w:val="bottom"/>
          </w:tcPr>
          <w:p w14:paraId="57A6B61F" w14:textId="77777777" w:rsidR="00480322" w:rsidRPr="006330F7" w:rsidRDefault="00480322" w:rsidP="00905415">
            <w:pPr>
              <w:widowControl/>
              <w:rPr>
                <w:rFonts w:cs="Arial"/>
                <w:snapToGrid/>
                <w:sz w:val="20"/>
                <w:lang w:val="en-GB" w:eastAsia="en-GB"/>
              </w:rPr>
            </w:pPr>
          </w:p>
        </w:tc>
        <w:tc>
          <w:tcPr>
            <w:tcW w:w="1395" w:type="pct"/>
            <w:tcBorders>
              <w:top w:val="nil"/>
              <w:left w:val="single" w:sz="8" w:space="0" w:color="auto"/>
              <w:bottom w:val="single" w:sz="4" w:space="0" w:color="auto"/>
              <w:right w:val="nil"/>
            </w:tcBorders>
            <w:shd w:val="clear" w:color="auto" w:fill="auto"/>
            <w:noWrap/>
            <w:vAlign w:val="bottom"/>
          </w:tcPr>
          <w:p w14:paraId="31A5B72D"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Same school / Academy Multi Academy Trust</w:t>
            </w:r>
          </w:p>
        </w:tc>
        <w:tc>
          <w:tcPr>
            <w:tcW w:w="1145" w:type="pct"/>
            <w:tcBorders>
              <w:top w:val="nil"/>
              <w:left w:val="single" w:sz="8" w:space="0" w:color="auto"/>
              <w:bottom w:val="single" w:sz="4" w:space="0" w:color="auto"/>
              <w:right w:val="single" w:sz="4" w:space="0" w:color="auto"/>
            </w:tcBorders>
            <w:shd w:val="clear" w:color="auto" w:fill="auto"/>
            <w:noWrap/>
            <w:vAlign w:val="bottom"/>
          </w:tcPr>
          <w:p w14:paraId="3D71131D" w14:textId="77777777" w:rsidR="00480322" w:rsidRPr="00DB0417" w:rsidRDefault="00480322" w:rsidP="00905415">
            <w:pPr>
              <w:widowControl/>
              <w:rPr>
                <w:rFonts w:cs="Arial"/>
                <w:snapToGrid/>
                <w:color w:val="0070C0"/>
                <w:sz w:val="20"/>
                <w:lang w:val="en-GB" w:eastAsia="en-GB"/>
              </w:rPr>
            </w:pPr>
            <w:r w:rsidRPr="00DB0417">
              <w:rPr>
                <w:rFonts w:cs="Arial"/>
                <w:snapToGrid/>
                <w:color w:val="0070C0"/>
                <w:sz w:val="20"/>
                <w:lang w:val="en-GB" w:eastAsia="en-GB"/>
              </w:rPr>
              <w:t>Internal</w:t>
            </w:r>
          </w:p>
        </w:tc>
        <w:tc>
          <w:tcPr>
            <w:tcW w:w="1075" w:type="pct"/>
            <w:tcBorders>
              <w:top w:val="nil"/>
              <w:left w:val="nil"/>
              <w:bottom w:val="single" w:sz="4" w:space="0" w:color="auto"/>
              <w:right w:val="single" w:sz="4" w:space="0" w:color="auto"/>
            </w:tcBorders>
            <w:shd w:val="clear" w:color="auto" w:fill="auto"/>
            <w:noWrap/>
            <w:vAlign w:val="bottom"/>
          </w:tcPr>
          <w:p w14:paraId="35F70A3D" w14:textId="77777777" w:rsidR="00480322" w:rsidRPr="00DB0417" w:rsidRDefault="00480322" w:rsidP="00905415">
            <w:pPr>
              <w:widowControl/>
              <w:rPr>
                <w:rFonts w:cs="Arial"/>
                <w:snapToGrid/>
                <w:color w:val="0070C0"/>
                <w:sz w:val="20"/>
                <w:lang w:val="en-GB" w:eastAsia="en-GB"/>
              </w:rPr>
            </w:pPr>
            <w:r w:rsidRPr="00DB0417">
              <w:rPr>
                <w:rFonts w:cs="Arial"/>
                <w:snapToGrid/>
                <w:color w:val="0070C0"/>
                <w:sz w:val="20"/>
                <w:lang w:val="en-GB" w:eastAsia="en-GB"/>
              </w:rPr>
              <w:t>Internal</w:t>
            </w:r>
          </w:p>
        </w:tc>
        <w:tc>
          <w:tcPr>
            <w:tcW w:w="645" w:type="pct"/>
            <w:tcBorders>
              <w:top w:val="nil"/>
              <w:left w:val="nil"/>
              <w:bottom w:val="single" w:sz="4" w:space="0" w:color="auto"/>
              <w:right w:val="single" w:sz="8" w:space="0" w:color="auto"/>
            </w:tcBorders>
            <w:shd w:val="clear" w:color="auto" w:fill="auto"/>
            <w:noWrap/>
            <w:vAlign w:val="bottom"/>
          </w:tcPr>
          <w:p w14:paraId="6150A3AB" w14:textId="77777777" w:rsidR="00480322" w:rsidRPr="00DB0417" w:rsidRDefault="00480322" w:rsidP="00905415">
            <w:pPr>
              <w:widowControl/>
              <w:rPr>
                <w:rFonts w:cs="Arial"/>
                <w:snapToGrid/>
                <w:color w:val="0070C0"/>
                <w:sz w:val="20"/>
                <w:lang w:val="en-GB" w:eastAsia="en-GB"/>
              </w:rPr>
            </w:pPr>
            <w:r w:rsidRPr="00DB0417">
              <w:rPr>
                <w:rFonts w:cs="Arial"/>
                <w:snapToGrid/>
                <w:color w:val="0070C0"/>
                <w:sz w:val="20"/>
                <w:lang w:val="en-GB" w:eastAsia="en-GB"/>
              </w:rPr>
              <w:t>Internal</w:t>
            </w:r>
          </w:p>
        </w:tc>
      </w:tr>
      <w:tr w:rsidR="00480322" w:rsidRPr="006330F7" w14:paraId="222F1561" w14:textId="77777777" w:rsidTr="00905415">
        <w:trPr>
          <w:trHeight w:val="270"/>
        </w:trPr>
        <w:tc>
          <w:tcPr>
            <w:tcW w:w="740" w:type="pct"/>
            <w:tcBorders>
              <w:top w:val="nil"/>
              <w:left w:val="nil"/>
              <w:bottom w:val="nil"/>
              <w:right w:val="nil"/>
            </w:tcBorders>
            <w:shd w:val="clear" w:color="auto" w:fill="auto"/>
            <w:noWrap/>
            <w:vAlign w:val="bottom"/>
          </w:tcPr>
          <w:p w14:paraId="3FBC7184" w14:textId="77777777" w:rsidR="00480322" w:rsidRPr="006330F7" w:rsidRDefault="00480322" w:rsidP="00905415">
            <w:pPr>
              <w:widowControl/>
              <w:rPr>
                <w:rFonts w:cs="Arial"/>
                <w:snapToGrid/>
                <w:sz w:val="20"/>
                <w:lang w:val="en-GB" w:eastAsia="en-GB"/>
              </w:rPr>
            </w:pPr>
          </w:p>
        </w:tc>
        <w:tc>
          <w:tcPr>
            <w:tcW w:w="1395" w:type="pct"/>
            <w:tcBorders>
              <w:top w:val="nil"/>
              <w:left w:val="single" w:sz="8" w:space="0" w:color="auto"/>
              <w:bottom w:val="single" w:sz="8" w:space="0" w:color="auto"/>
              <w:right w:val="nil"/>
            </w:tcBorders>
            <w:shd w:val="clear" w:color="auto" w:fill="auto"/>
            <w:noWrap/>
            <w:vAlign w:val="bottom"/>
          </w:tcPr>
          <w:p w14:paraId="3B5BB5B0" w14:textId="77777777" w:rsidR="00480322" w:rsidRPr="006330F7" w:rsidRDefault="00480322" w:rsidP="00905415">
            <w:pPr>
              <w:widowControl/>
              <w:rPr>
                <w:rFonts w:cs="Arial"/>
                <w:snapToGrid/>
                <w:sz w:val="20"/>
                <w:lang w:val="en-GB" w:eastAsia="en-GB"/>
              </w:rPr>
            </w:pPr>
            <w:r w:rsidRPr="006330F7">
              <w:rPr>
                <w:rFonts w:cs="Arial"/>
                <w:snapToGrid/>
                <w:sz w:val="20"/>
                <w:lang w:val="en-GB" w:eastAsia="en-GB"/>
              </w:rPr>
              <w:t>Outside organisation / first job</w:t>
            </w:r>
          </w:p>
        </w:tc>
        <w:tc>
          <w:tcPr>
            <w:tcW w:w="1145" w:type="pct"/>
            <w:tcBorders>
              <w:top w:val="nil"/>
              <w:left w:val="single" w:sz="8" w:space="0" w:color="auto"/>
              <w:bottom w:val="single" w:sz="8" w:space="0" w:color="auto"/>
              <w:right w:val="single" w:sz="4" w:space="0" w:color="auto"/>
            </w:tcBorders>
            <w:shd w:val="clear" w:color="auto" w:fill="auto"/>
            <w:noWrap/>
            <w:vAlign w:val="bottom"/>
          </w:tcPr>
          <w:p w14:paraId="4855E785"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c>
          <w:tcPr>
            <w:tcW w:w="1075" w:type="pct"/>
            <w:tcBorders>
              <w:top w:val="nil"/>
              <w:left w:val="nil"/>
              <w:bottom w:val="single" w:sz="8" w:space="0" w:color="auto"/>
              <w:right w:val="single" w:sz="4" w:space="0" w:color="auto"/>
            </w:tcBorders>
            <w:shd w:val="clear" w:color="auto" w:fill="auto"/>
            <w:noWrap/>
            <w:vAlign w:val="bottom"/>
          </w:tcPr>
          <w:p w14:paraId="229FB734"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c>
          <w:tcPr>
            <w:tcW w:w="645" w:type="pct"/>
            <w:tcBorders>
              <w:top w:val="nil"/>
              <w:left w:val="nil"/>
              <w:bottom w:val="single" w:sz="8" w:space="0" w:color="auto"/>
              <w:right w:val="single" w:sz="8" w:space="0" w:color="auto"/>
            </w:tcBorders>
            <w:shd w:val="clear" w:color="auto" w:fill="auto"/>
            <w:noWrap/>
            <w:vAlign w:val="bottom"/>
          </w:tcPr>
          <w:p w14:paraId="64441038" w14:textId="77777777" w:rsidR="00480322" w:rsidRPr="00DB0417" w:rsidRDefault="00480322" w:rsidP="00905415">
            <w:pPr>
              <w:widowControl/>
              <w:rPr>
                <w:rFonts w:cs="Arial"/>
                <w:snapToGrid/>
                <w:color w:val="008000"/>
                <w:sz w:val="20"/>
                <w:lang w:val="en-GB" w:eastAsia="en-GB"/>
              </w:rPr>
            </w:pPr>
            <w:r w:rsidRPr="00DB0417">
              <w:rPr>
                <w:rFonts w:cs="Arial"/>
                <w:snapToGrid/>
                <w:color w:val="008000"/>
                <w:sz w:val="20"/>
                <w:lang w:val="en-GB" w:eastAsia="en-GB"/>
              </w:rPr>
              <w:t>New</w:t>
            </w:r>
          </w:p>
        </w:tc>
      </w:tr>
    </w:tbl>
    <w:p w14:paraId="0353E656" w14:textId="77777777" w:rsidR="00480322" w:rsidRDefault="00480322" w:rsidP="00480322">
      <w:pPr>
        <w:widowControl/>
        <w:rPr>
          <w:rFonts w:cs="Arial"/>
        </w:rPr>
      </w:pPr>
    </w:p>
    <w:p w14:paraId="56A9CAEE" w14:textId="77777777" w:rsidR="00480322" w:rsidRPr="006330F7" w:rsidRDefault="00480322" w:rsidP="00480322">
      <w:pPr>
        <w:widowControl/>
        <w:rPr>
          <w:rFonts w:cs="Arial"/>
        </w:rPr>
      </w:pPr>
      <w:r w:rsidRPr="006330F7">
        <w:rPr>
          <w:rFonts w:cs="Arial"/>
        </w:rPr>
        <w:t>This policy excludes</w:t>
      </w:r>
      <w:r>
        <w:rPr>
          <w:rFonts w:cs="Arial"/>
        </w:rPr>
        <w:t>:</w:t>
      </w:r>
    </w:p>
    <w:p w14:paraId="4ADAF369" w14:textId="6E562ADC" w:rsidR="00480322" w:rsidRPr="006330F7" w:rsidRDefault="00D062BB" w:rsidP="00480322">
      <w:pPr>
        <w:widowControl/>
        <w:numPr>
          <w:ilvl w:val="0"/>
          <w:numId w:val="3"/>
        </w:numPr>
        <w:spacing w:before="120" w:after="120"/>
        <w:rPr>
          <w:rFonts w:cs="Arial"/>
        </w:rPr>
      </w:pPr>
      <w:r>
        <w:rPr>
          <w:rFonts w:cs="Arial"/>
        </w:rPr>
        <w:t xml:space="preserve">fixed term </w:t>
      </w:r>
      <w:r w:rsidR="00480322" w:rsidRPr="006330F7">
        <w:rPr>
          <w:rFonts w:cs="Arial"/>
        </w:rPr>
        <w:t>appointments</w:t>
      </w:r>
      <w:r>
        <w:rPr>
          <w:rFonts w:cs="Arial"/>
        </w:rPr>
        <w:t xml:space="preserve"> of less than six months</w:t>
      </w:r>
      <w:r w:rsidR="001E0F58" w:rsidRPr="001E0F58">
        <w:rPr>
          <w:rFonts w:cs="Arial"/>
          <w:color w:val="FF0000"/>
        </w:rPr>
        <w:t>*</w:t>
      </w:r>
      <w:r w:rsidR="00480322" w:rsidRPr="006330F7">
        <w:rPr>
          <w:rFonts w:cs="Arial"/>
        </w:rPr>
        <w:t>;</w:t>
      </w:r>
    </w:p>
    <w:p w14:paraId="4CB8F303" w14:textId="40B2E1BB" w:rsidR="00480322" w:rsidRPr="006330F7" w:rsidRDefault="00480322" w:rsidP="00480322">
      <w:pPr>
        <w:widowControl/>
        <w:numPr>
          <w:ilvl w:val="0"/>
          <w:numId w:val="3"/>
        </w:numPr>
        <w:spacing w:before="120" w:after="120"/>
        <w:rPr>
          <w:rFonts w:cs="Arial"/>
        </w:rPr>
      </w:pPr>
      <w:r w:rsidRPr="006330F7">
        <w:rPr>
          <w:rFonts w:cs="Arial"/>
        </w:rPr>
        <w:t>casual staff</w:t>
      </w:r>
      <w:r w:rsidR="00D062BB" w:rsidRPr="00D062BB">
        <w:rPr>
          <w:rFonts w:cs="Arial"/>
        </w:rPr>
        <w:t xml:space="preserve"> </w:t>
      </w:r>
      <w:r w:rsidR="00D062BB">
        <w:rPr>
          <w:rFonts w:cs="Arial"/>
        </w:rPr>
        <w:t>and those engaged via an agency</w:t>
      </w:r>
      <w:r w:rsidRPr="006330F7">
        <w:rPr>
          <w:rFonts w:cs="Arial"/>
        </w:rPr>
        <w:t>;</w:t>
      </w:r>
    </w:p>
    <w:p w14:paraId="6E4F9B32" w14:textId="77777777" w:rsidR="00480322" w:rsidRPr="006330F7" w:rsidRDefault="00480322" w:rsidP="00480322">
      <w:pPr>
        <w:widowControl/>
        <w:numPr>
          <w:ilvl w:val="0"/>
          <w:numId w:val="3"/>
        </w:numPr>
        <w:spacing w:before="120" w:after="120"/>
        <w:rPr>
          <w:rFonts w:cs="Arial"/>
        </w:rPr>
      </w:pPr>
      <w:r w:rsidRPr="006330F7">
        <w:rPr>
          <w:rFonts w:cs="Arial"/>
        </w:rPr>
        <w:t>new staff transferred following a TUPE transfer;</w:t>
      </w:r>
    </w:p>
    <w:p w14:paraId="7F01B696" w14:textId="77366B11" w:rsidR="00480322" w:rsidRPr="006330F7" w:rsidRDefault="00480322" w:rsidP="00480322">
      <w:pPr>
        <w:widowControl/>
        <w:numPr>
          <w:ilvl w:val="0"/>
          <w:numId w:val="3"/>
        </w:numPr>
        <w:spacing w:before="120" w:after="120"/>
        <w:rPr>
          <w:rFonts w:cs="Arial"/>
        </w:rPr>
      </w:pPr>
      <w:r w:rsidRPr="006330F7">
        <w:rPr>
          <w:rFonts w:cs="Arial"/>
        </w:rPr>
        <w:t>employees who have been assimilated to a position following an 80% or more match following a reorgani</w:t>
      </w:r>
      <w:r w:rsidR="00D062BB">
        <w:rPr>
          <w:rFonts w:cs="Arial"/>
        </w:rPr>
        <w:t>s</w:t>
      </w:r>
      <w:r w:rsidRPr="006330F7">
        <w:rPr>
          <w:rFonts w:cs="Arial"/>
        </w:rPr>
        <w:t>ation exercise;</w:t>
      </w:r>
    </w:p>
    <w:p w14:paraId="07D64BA3" w14:textId="5E19BE8B" w:rsidR="00993E59" w:rsidRPr="00DB0417" w:rsidRDefault="00480322" w:rsidP="001E0F58">
      <w:pPr>
        <w:widowControl/>
        <w:numPr>
          <w:ilvl w:val="0"/>
          <w:numId w:val="3"/>
        </w:numPr>
        <w:spacing w:before="120" w:after="120"/>
      </w:pPr>
      <w:r w:rsidRPr="006330F7">
        <w:rPr>
          <w:rFonts w:cs="Arial"/>
        </w:rPr>
        <w:lastRenderedPageBreak/>
        <w:t xml:space="preserve">teaching </w:t>
      </w:r>
      <w:r w:rsidRPr="00DB0417">
        <w:rPr>
          <w:rFonts w:cs="Arial"/>
        </w:rPr>
        <w:t>staff</w:t>
      </w:r>
      <w:r w:rsidR="001E0F58" w:rsidRPr="00DB0417">
        <w:rPr>
          <w:rFonts w:cs="Arial"/>
        </w:rPr>
        <w:t>*</w:t>
      </w:r>
      <w:r w:rsidR="00993E59" w:rsidRPr="00DB0417">
        <w:rPr>
          <w:rFonts w:cs="Arial"/>
        </w:rPr>
        <w:t xml:space="preserve"> (</w:t>
      </w:r>
      <w:r w:rsidR="001E0F58" w:rsidRPr="00DB0417">
        <w:rPr>
          <w:rFonts w:cs="Arial"/>
        </w:rPr>
        <w:t>those employed in maintained schools are required to follow the statutory teacher induction period whereas academies have the option to do so).</w:t>
      </w:r>
    </w:p>
    <w:p w14:paraId="7FC68835" w14:textId="43C85743" w:rsidR="00480322" w:rsidRPr="00DB0417" w:rsidRDefault="00701F2F" w:rsidP="00701F2F">
      <w:pPr>
        <w:widowControl/>
        <w:spacing w:before="120" w:after="120"/>
        <w:ind w:left="720"/>
        <w:rPr>
          <w:rFonts w:cs="Arial"/>
        </w:rPr>
      </w:pPr>
      <w:r w:rsidRPr="00DB0417">
        <w:rPr>
          <w:rFonts w:cs="Arial"/>
        </w:rPr>
        <w:t xml:space="preserve">However, it is important for new teachers to the school and </w:t>
      </w:r>
      <w:r w:rsidR="006A6ADA" w:rsidRPr="00DB0417">
        <w:rPr>
          <w:rFonts w:cs="Arial"/>
        </w:rPr>
        <w:t>for fixed term appointments</w:t>
      </w:r>
      <w:r w:rsidRPr="00DB0417">
        <w:rPr>
          <w:rFonts w:cs="Arial"/>
        </w:rPr>
        <w:t xml:space="preserve"> to have a general induction to the school to help settle them in</w:t>
      </w:r>
      <w:r w:rsidR="006A6ADA" w:rsidRPr="00DB0417">
        <w:rPr>
          <w:rFonts w:cs="Arial"/>
        </w:rPr>
        <w:t>,</w:t>
      </w:r>
      <w:r w:rsidRPr="00DB0417">
        <w:rPr>
          <w:rFonts w:cs="Arial"/>
        </w:rPr>
        <w:t xml:space="preserve"> rather than adopt the formal approach detailed in this Induction and Probation Policy and </w:t>
      </w:r>
      <w:r w:rsidR="006A6ADA" w:rsidRPr="00DB0417">
        <w:rPr>
          <w:rFonts w:cs="Arial"/>
        </w:rPr>
        <w:t xml:space="preserve">the related </w:t>
      </w:r>
      <w:r w:rsidRPr="00DB0417">
        <w:rPr>
          <w:rFonts w:cs="Arial"/>
        </w:rPr>
        <w:t>Procedure.</w:t>
      </w:r>
    </w:p>
    <w:p w14:paraId="7E6452DC" w14:textId="79DF0702" w:rsidR="00480322" w:rsidRDefault="00480322" w:rsidP="00480322">
      <w:pPr>
        <w:widowControl/>
        <w:spacing w:before="120" w:after="120"/>
        <w:ind w:left="720"/>
        <w:rPr>
          <w:rFonts w:cs="Arial"/>
        </w:rPr>
      </w:pPr>
    </w:p>
    <w:p w14:paraId="185F3C61" w14:textId="5DC034E9" w:rsidR="00CE324E" w:rsidRPr="00CE324E" w:rsidRDefault="00CE324E" w:rsidP="00CE324E">
      <w:pPr>
        <w:pStyle w:val="Heading2"/>
        <w:numPr>
          <w:ilvl w:val="0"/>
          <w:numId w:val="5"/>
        </w:numPr>
        <w:ind w:hanging="720"/>
        <w:rPr>
          <w:rFonts w:ascii="Arial" w:hAnsi="Arial" w:cs="Arial"/>
          <w:b/>
          <w:color w:val="auto"/>
          <w:sz w:val="24"/>
          <w:szCs w:val="24"/>
        </w:rPr>
      </w:pPr>
      <w:bookmarkStart w:id="4" w:name="_Toc516232274"/>
      <w:r>
        <w:rPr>
          <w:rFonts w:ascii="Arial" w:hAnsi="Arial" w:cs="Arial"/>
          <w:b/>
          <w:color w:val="auto"/>
          <w:sz w:val="24"/>
          <w:szCs w:val="24"/>
        </w:rPr>
        <w:t>PRINCIPLES</w:t>
      </w:r>
      <w:bookmarkEnd w:id="4"/>
    </w:p>
    <w:p w14:paraId="3529A49A" w14:textId="77777777" w:rsidR="00CE324E" w:rsidRDefault="00CE324E" w:rsidP="00480322">
      <w:pPr>
        <w:widowControl/>
        <w:rPr>
          <w:rFonts w:cs="Arial"/>
        </w:rPr>
      </w:pPr>
    </w:p>
    <w:p w14:paraId="47C3A44E" w14:textId="189C099E" w:rsidR="00480322" w:rsidRDefault="00480322" w:rsidP="00480322">
      <w:pPr>
        <w:widowControl/>
        <w:rPr>
          <w:rFonts w:cs="Arial"/>
        </w:rPr>
      </w:pPr>
      <w:r w:rsidRPr="00905415">
        <w:rPr>
          <w:rFonts w:cs="Arial"/>
        </w:rPr>
        <w:t>The purpose of the probationary period is to:</w:t>
      </w:r>
      <w:r w:rsidRPr="000327F7">
        <w:rPr>
          <w:rFonts w:cs="Arial"/>
        </w:rPr>
        <w:t xml:space="preserve"> </w:t>
      </w:r>
    </w:p>
    <w:p w14:paraId="37831ACE" w14:textId="77777777" w:rsidR="00480322" w:rsidRPr="000327F7" w:rsidRDefault="00480322" w:rsidP="00480322">
      <w:pPr>
        <w:widowControl/>
        <w:rPr>
          <w:rFonts w:cs="Arial"/>
        </w:rPr>
      </w:pPr>
    </w:p>
    <w:p w14:paraId="3BA81BD7" w14:textId="77777777" w:rsidR="00480322" w:rsidRDefault="00480322" w:rsidP="00480322">
      <w:pPr>
        <w:widowControl/>
        <w:numPr>
          <w:ilvl w:val="0"/>
          <w:numId w:val="1"/>
        </w:numPr>
        <w:tabs>
          <w:tab w:val="clear" w:pos="567"/>
          <w:tab w:val="num" w:pos="993"/>
        </w:tabs>
        <w:ind w:left="993" w:hanging="426"/>
        <w:rPr>
          <w:rFonts w:cs="Arial"/>
        </w:rPr>
      </w:pPr>
      <w:r w:rsidRPr="000327F7">
        <w:rPr>
          <w:rFonts w:cs="Arial"/>
        </w:rPr>
        <w:t xml:space="preserve">Ensure that the new employee settles into their job and understands their role, accountabilities, objectives and performance standards. </w:t>
      </w:r>
    </w:p>
    <w:p w14:paraId="3B40DA20" w14:textId="77777777" w:rsidR="00480322" w:rsidRPr="000327F7" w:rsidRDefault="00480322" w:rsidP="00480322">
      <w:pPr>
        <w:widowControl/>
        <w:ind w:left="567"/>
        <w:rPr>
          <w:rFonts w:cs="Arial"/>
        </w:rPr>
      </w:pPr>
    </w:p>
    <w:p w14:paraId="41FCE15B" w14:textId="77777777" w:rsidR="00480322" w:rsidRPr="00DB0417" w:rsidRDefault="00480322" w:rsidP="00480322">
      <w:pPr>
        <w:widowControl/>
        <w:numPr>
          <w:ilvl w:val="0"/>
          <w:numId w:val="1"/>
        </w:numPr>
        <w:tabs>
          <w:tab w:val="clear" w:pos="567"/>
          <w:tab w:val="num" w:pos="993"/>
        </w:tabs>
        <w:ind w:left="993" w:hanging="426"/>
        <w:rPr>
          <w:rFonts w:cs="Arial"/>
        </w:rPr>
      </w:pPr>
      <w:r w:rsidRPr="00DB0417">
        <w:rPr>
          <w:rFonts w:cs="Arial"/>
        </w:rPr>
        <w:t>Support the new employee in meeting the required standards of performance.</w:t>
      </w:r>
    </w:p>
    <w:p w14:paraId="1D5E30D5" w14:textId="77777777" w:rsidR="00480322" w:rsidRPr="00DB0417" w:rsidRDefault="00480322" w:rsidP="00480322">
      <w:pPr>
        <w:widowControl/>
        <w:rPr>
          <w:rFonts w:cs="Arial"/>
        </w:rPr>
      </w:pPr>
    </w:p>
    <w:p w14:paraId="41842DE0" w14:textId="003ECD63" w:rsidR="00480322" w:rsidRPr="00DB0417" w:rsidRDefault="00480322" w:rsidP="00480322">
      <w:pPr>
        <w:widowControl/>
        <w:numPr>
          <w:ilvl w:val="0"/>
          <w:numId w:val="1"/>
        </w:numPr>
        <w:tabs>
          <w:tab w:val="clear" w:pos="567"/>
          <w:tab w:val="num" w:pos="993"/>
        </w:tabs>
        <w:ind w:left="993" w:hanging="426"/>
        <w:rPr>
          <w:rFonts w:cs="Arial"/>
        </w:rPr>
      </w:pPr>
      <w:r w:rsidRPr="00DB0417">
        <w:rPr>
          <w:rFonts w:cs="Arial"/>
        </w:rPr>
        <w:t xml:space="preserve">Assess the new employee's performance so that where they meet the required performance standards they may be confirmed in their new job. </w:t>
      </w:r>
      <w:r w:rsidR="00701F2F" w:rsidRPr="00DB0417">
        <w:rPr>
          <w:rFonts w:cs="Arial"/>
        </w:rPr>
        <w:t>If there are concerns, then please refer to Section 5 relating to Difficulties in the Induction and Probation Procedure.</w:t>
      </w:r>
    </w:p>
    <w:p w14:paraId="06E0C3B1" w14:textId="77777777" w:rsidR="00480322" w:rsidRPr="00DB0417" w:rsidRDefault="00480322" w:rsidP="00480322">
      <w:pPr>
        <w:widowControl/>
        <w:rPr>
          <w:rFonts w:cs="Arial"/>
        </w:rPr>
      </w:pPr>
    </w:p>
    <w:p w14:paraId="77C0248E" w14:textId="77777777" w:rsidR="00480322" w:rsidRPr="00DB0417" w:rsidRDefault="00480322" w:rsidP="00480322">
      <w:pPr>
        <w:widowControl/>
      </w:pPr>
      <w:r w:rsidRPr="00DB0417">
        <w:t>Employees will not normally be eligible to apply for temporary, permanent, secondment or “acting-up” opportunities, until they have successfully completed their initial probationary period.</w:t>
      </w:r>
    </w:p>
    <w:p w14:paraId="214751D3" w14:textId="77777777" w:rsidR="00480322" w:rsidRPr="00DB0417" w:rsidRDefault="00480322" w:rsidP="00480322">
      <w:pPr>
        <w:widowControl/>
        <w:rPr>
          <w:rFonts w:cs="Arial"/>
        </w:rPr>
      </w:pPr>
    </w:p>
    <w:p w14:paraId="481AD768" w14:textId="5B61AD0D" w:rsidR="00480322" w:rsidRDefault="00480322" w:rsidP="00480322">
      <w:pPr>
        <w:widowControl/>
        <w:tabs>
          <w:tab w:val="left" w:pos="0"/>
        </w:tabs>
        <w:spacing w:before="120" w:after="120"/>
        <w:rPr>
          <w:rFonts w:cs="Arial"/>
        </w:rPr>
      </w:pPr>
      <w:r w:rsidRPr="00DB0417">
        <w:rPr>
          <w:rFonts w:cs="Arial"/>
        </w:rPr>
        <w:t>The School aim</w:t>
      </w:r>
      <w:r w:rsidR="007555C4" w:rsidRPr="00DB0417">
        <w:rPr>
          <w:rFonts w:cs="Arial"/>
        </w:rPr>
        <w:t>s</w:t>
      </w:r>
      <w:r w:rsidRPr="00DB0417">
        <w:rPr>
          <w:rFonts w:cs="Arial"/>
        </w:rPr>
        <w:t xml:space="preserve"> to ensure that all employees are treated fairly and equitably. The subsequent Induction and Probation Procedure supports th</w:t>
      </w:r>
      <w:r w:rsidR="007555C4" w:rsidRPr="00DB0417">
        <w:rPr>
          <w:rFonts w:cs="Arial"/>
        </w:rPr>
        <w:t>at</w:t>
      </w:r>
      <w:r w:rsidRPr="00DB0417">
        <w:rPr>
          <w:rFonts w:cs="Arial"/>
        </w:rPr>
        <w:t xml:space="preserve"> aim in </w:t>
      </w:r>
      <w:r w:rsidRPr="000327F7">
        <w:rPr>
          <w:rFonts w:cs="Arial"/>
        </w:rPr>
        <w:t xml:space="preserve">two ways: </w:t>
      </w:r>
    </w:p>
    <w:p w14:paraId="48C67CC2" w14:textId="77777777" w:rsidR="00480322" w:rsidRDefault="00480322" w:rsidP="00480322">
      <w:pPr>
        <w:widowControl/>
        <w:numPr>
          <w:ilvl w:val="0"/>
          <w:numId w:val="2"/>
        </w:numPr>
        <w:tabs>
          <w:tab w:val="clear" w:pos="927"/>
          <w:tab w:val="num" w:pos="993"/>
        </w:tabs>
        <w:ind w:left="993" w:hanging="426"/>
        <w:rPr>
          <w:rFonts w:cs="Arial"/>
        </w:rPr>
      </w:pPr>
      <w:r w:rsidRPr="000327F7">
        <w:rPr>
          <w:rFonts w:cs="Arial"/>
        </w:rPr>
        <w:t>By setting out a framework for ensuring that new employees know what is expected of them, understand the process of probationary assessment and receive the support and encouragement necessary to enable them to be successfully confirmed</w:t>
      </w:r>
      <w:r>
        <w:rPr>
          <w:rFonts w:cs="Arial"/>
        </w:rPr>
        <w:t xml:space="preserve"> into their post.</w:t>
      </w:r>
      <w:r w:rsidRPr="000327F7">
        <w:rPr>
          <w:rFonts w:cs="Arial"/>
        </w:rPr>
        <w:t xml:space="preserve"> </w:t>
      </w:r>
    </w:p>
    <w:p w14:paraId="01ACFF5D" w14:textId="77777777" w:rsidR="00480322" w:rsidRDefault="00480322" w:rsidP="00480322">
      <w:pPr>
        <w:widowControl/>
        <w:tabs>
          <w:tab w:val="num" w:pos="1134"/>
        </w:tabs>
        <w:ind w:left="993"/>
        <w:rPr>
          <w:rFonts w:cs="Arial"/>
        </w:rPr>
      </w:pPr>
    </w:p>
    <w:p w14:paraId="64CD40F0" w14:textId="77777777" w:rsidR="00480322" w:rsidRDefault="00480322" w:rsidP="00480322">
      <w:pPr>
        <w:widowControl/>
        <w:numPr>
          <w:ilvl w:val="0"/>
          <w:numId w:val="2"/>
        </w:numPr>
        <w:tabs>
          <w:tab w:val="clear" w:pos="927"/>
          <w:tab w:val="num" w:pos="993"/>
          <w:tab w:val="num" w:pos="1134"/>
        </w:tabs>
        <w:ind w:left="993" w:hanging="426"/>
        <w:rPr>
          <w:rFonts w:cs="Arial"/>
        </w:rPr>
      </w:pPr>
      <w:r w:rsidRPr="000327F7">
        <w:rPr>
          <w:rFonts w:cs="Arial"/>
        </w:rPr>
        <w:t xml:space="preserve">By requiring Line Managers to be explicit about the standards and criteria that will be used to assess probationary employees and establishing a framework for supervising and supporting new employees throughout their probationary period. </w:t>
      </w:r>
      <w:r>
        <w:rPr>
          <w:rFonts w:cs="Arial"/>
        </w:rPr>
        <w:tab/>
      </w:r>
    </w:p>
    <w:p w14:paraId="650E6FAE" w14:textId="00B4219A" w:rsidR="00EC5CA0" w:rsidRDefault="00EC5CA0"/>
    <w:p w14:paraId="74E0660B" w14:textId="408F6E0F" w:rsidR="00480322" w:rsidRDefault="00CE324E" w:rsidP="00CE324E">
      <w:pPr>
        <w:pStyle w:val="Heading2"/>
        <w:numPr>
          <w:ilvl w:val="0"/>
          <w:numId w:val="5"/>
        </w:numPr>
        <w:ind w:hanging="720"/>
        <w:rPr>
          <w:rFonts w:ascii="Arial" w:hAnsi="Arial" w:cs="Arial"/>
          <w:b/>
          <w:color w:val="auto"/>
          <w:sz w:val="24"/>
          <w:szCs w:val="24"/>
        </w:rPr>
      </w:pPr>
      <w:bookmarkStart w:id="5" w:name="_Toc516232275"/>
      <w:r w:rsidRPr="00CE324E">
        <w:rPr>
          <w:rFonts w:ascii="Arial" w:hAnsi="Arial" w:cs="Arial"/>
          <w:b/>
          <w:color w:val="auto"/>
          <w:sz w:val="24"/>
          <w:szCs w:val="24"/>
        </w:rPr>
        <w:t>ROLES AND RESPONSBILITITIES</w:t>
      </w:r>
      <w:bookmarkEnd w:id="5"/>
    </w:p>
    <w:p w14:paraId="25301481" w14:textId="77777777" w:rsidR="00CE324E" w:rsidRPr="00CE324E" w:rsidRDefault="00CE324E" w:rsidP="00CE324E"/>
    <w:p w14:paraId="010A9307" w14:textId="5877AC8B" w:rsidR="00480322" w:rsidRPr="00480322" w:rsidRDefault="00480322" w:rsidP="00480322">
      <w:pPr>
        <w:tabs>
          <w:tab w:val="left" w:pos="-1440"/>
          <w:tab w:val="left" w:pos="-720"/>
          <w:tab w:val="left" w:pos="0"/>
          <w:tab w:val="left" w:pos="1142"/>
          <w:tab w:val="left" w:pos="1999"/>
        </w:tabs>
      </w:pPr>
      <w:r w:rsidRPr="00480322">
        <w:rPr>
          <w:rFonts w:cs="Calibri"/>
          <w:color w:val="000000"/>
          <w:szCs w:val="24"/>
        </w:rPr>
        <w:t>It is the responsibility of all employees to be aware of and follow the provisions contained within this policy. It is the responsibility of line managers to apply this policy and ensure that all new employees to the school and</w:t>
      </w:r>
      <w:r w:rsidRPr="00480322">
        <w:t xml:space="preserve"> those internally appointed in to a new post </w:t>
      </w:r>
      <w:r w:rsidRPr="00480322">
        <w:rPr>
          <w:rFonts w:cs="Calibri"/>
          <w:color w:val="000000"/>
          <w:szCs w:val="24"/>
        </w:rPr>
        <w:t xml:space="preserve">undergo a </w:t>
      </w:r>
      <w:r w:rsidR="00CE324E" w:rsidRPr="00480322">
        <w:t>consistent</w:t>
      </w:r>
      <w:r w:rsidRPr="00480322">
        <w:t xml:space="preserve"> induction and probation process.</w:t>
      </w:r>
    </w:p>
    <w:p w14:paraId="43F9982A" w14:textId="737411F7" w:rsidR="00480322" w:rsidRPr="00480322" w:rsidRDefault="00480322" w:rsidP="00480322">
      <w:pPr>
        <w:tabs>
          <w:tab w:val="left" w:pos="-1440"/>
          <w:tab w:val="left" w:pos="-720"/>
          <w:tab w:val="left" w:pos="0"/>
          <w:tab w:val="left" w:pos="1142"/>
          <w:tab w:val="left" w:pos="1999"/>
        </w:tabs>
        <w:rPr>
          <w:rFonts w:cs="Calibri"/>
          <w:color w:val="000000"/>
          <w:szCs w:val="24"/>
        </w:rPr>
      </w:pPr>
    </w:p>
    <w:p w14:paraId="565FC725" w14:textId="13ACBA89" w:rsidR="00480322" w:rsidRPr="00480322" w:rsidRDefault="00480322" w:rsidP="00480322">
      <w:pPr>
        <w:tabs>
          <w:tab w:val="left" w:pos="-1440"/>
          <w:tab w:val="left" w:pos="-720"/>
          <w:tab w:val="left" w:pos="0"/>
          <w:tab w:val="left" w:pos="1142"/>
          <w:tab w:val="left" w:pos="1999"/>
        </w:tabs>
      </w:pPr>
      <w:r w:rsidRPr="00480322">
        <w:t xml:space="preserve">It is </w:t>
      </w:r>
      <w:r w:rsidR="00090625">
        <w:t xml:space="preserve">expected </w:t>
      </w:r>
      <w:r w:rsidRPr="00480322">
        <w:t xml:space="preserve">that all the arrangements for the induction of staff are included in the </w:t>
      </w:r>
      <w:r w:rsidRPr="00480322">
        <w:lastRenderedPageBreak/>
        <w:t>school's documentation for staff, making sure that those members of staff who are responsible for the induction and probation arrangements are clearly identified.</w:t>
      </w:r>
    </w:p>
    <w:p w14:paraId="7C07E817" w14:textId="77777777" w:rsidR="00480322" w:rsidRPr="00480322" w:rsidRDefault="00480322" w:rsidP="00480322">
      <w:pPr>
        <w:tabs>
          <w:tab w:val="left" w:pos="-1440"/>
          <w:tab w:val="left" w:pos="-720"/>
          <w:tab w:val="left" w:pos="0"/>
          <w:tab w:val="left" w:pos="1142"/>
          <w:tab w:val="left" w:pos="1999"/>
        </w:tabs>
        <w:rPr>
          <w:rFonts w:cs="Calibri"/>
          <w:color w:val="000000"/>
          <w:szCs w:val="24"/>
        </w:rPr>
      </w:pPr>
    </w:p>
    <w:p w14:paraId="0ECEF52D" w14:textId="647CDAE1" w:rsidR="00480322" w:rsidRPr="00480322" w:rsidRDefault="00480322" w:rsidP="00480322">
      <w:pPr>
        <w:tabs>
          <w:tab w:val="left" w:pos="-1440"/>
          <w:tab w:val="left" w:pos="-720"/>
          <w:tab w:val="left" w:pos="0"/>
          <w:tab w:val="left" w:pos="1142"/>
          <w:tab w:val="left" w:pos="1999"/>
        </w:tabs>
      </w:pPr>
      <w:r w:rsidRPr="00480322">
        <w:rPr>
          <w:rFonts w:cs="Calibri"/>
          <w:color w:val="000000"/>
          <w:szCs w:val="24"/>
        </w:rPr>
        <w:t>It is the responsibility of the Governing Bo</w:t>
      </w:r>
      <w:r w:rsidR="007555C4">
        <w:rPr>
          <w:rFonts w:cs="Calibri"/>
          <w:color w:val="000000"/>
          <w:szCs w:val="24"/>
        </w:rPr>
        <w:t>ar</w:t>
      </w:r>
      <w:r w:rsidRPr="00480322">
        <w:rPr>
          <w:rFonts w:cs="Calibri"/>
          <w:color w:val="000000"/>
          <w:szCs w:val="24"/>
        </w:rPr>
        <w:t xml:space="preserve">d to support managers and employees in the application of the policy, to review how the policy is being applied, and to update, in liaison with HR Consultancy, the policy as required. </w:t>
      </w:r>
    </w:p>
    <w:p w14:paraId="34A07094" w14:textId="77777777" w:rsidR="00480322" w:rsidRDefault="00480322" w:rsidP="00480322">
      <w:pPr>
        <w:autoSpaceDE w:val="0"/>
        <w:spacing w:line="276" w:lineRule="auto"/>
        <w:jc w:val="both"/>
        <w:rPr>
          <w:b/>
          <w:sz w:val="26"/>
          <w:lang w:val="en-GB"/>
        </w:rPr>
      </w:pPr>
    </w:p>
    <w:p w14:paraId="1AC33956" w14:textId="4E7B5C0D" w:rsidR="00480322" w:rsidRDefault="00480322"/>
    <w:p w14:paraId="6D874752" w14:textId="79C80481" w:rsidR="00480322" w:rsidRDefault="00480322"/>
    <w:p w14:paraId="0961C27A" w14:textId="77777777" w:rsidR="00480322" w:rsidRDefault="00480322"/>
    <w:sectPr w:rsidR="00480322" w:rsidSect="00DB0417">
      <w:footerReference w:type="default" r:id="rId9"/>
      <w:pgSz w:w="11906" w:h="16838"/>
      <w:pgMar w:top="1440" w:right="1274"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15F8F" w16cid:durableId="20223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1F910" w14:textId="77777777" w:rsidR="00533E55" w:rsidRDefault="00533E55" w:rsidP="001463D0">
      <w:r>
        <w:separator/>
      </w:r>
    </w:p>
  </w:endnote>
  <w:endnote w:type="continuationSeparator" w:id="0">
    <w:p w14:paraId="339D1F34" w14:textId="77777777" w:rsidR="00533E55" w:rsidRDefault="00533E55" w:rsidP="0014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0011"/>
      <w:docPartObj>
        <w:docPartGallery w:val="Page Numbers (Bottom of Page)"/>
        <w:docPartUnique/>
      </w:docPartObj>
    </w:sdtPr>
    <w:sdtEndPr>
      <w:rPr>
        <w:noProof/>
      </w:rPr>
    </w:sdtEndPr>
    <w:sdtContent>
      <w:p w14:paraId="73C37458" w14:textId="1374F1DF" w:rsidR="0005168A" w:rsidRDefault="0005168A">
        <w:pPr>
          <w:pStyle w:val="Footer"/>
          <w:jc w:val="center"/>
        </w:pPr>
        <w:r>
          <w:fldChar w:fldCharType="begin"/>
        </w:r>
        <w:r>
          <w:instrText xml:space="preserve"> PAGE   \* MERGEFORMAT </w:instrText>
        </w:r>
        <w:r>
          <w:fldChar w:fldCharType="separate"/>
        </w:r>
        <w:r w:rsidR="00016D47">
          <w:rPr>
            <w:noProof/>
          </w:rPr>
          <w:t>5</w:t>
        </w:r>
        <w:r>
          <w:rPr>
            <w:noProof/>
          </w:rPr>
          <w:fldChar w:fldCharType="end"/>
        </w:r>
      </w:p>
    </w:sdtContent>
  </w:sdt>
  <w:p w14:paraId="552D4581" w14:textId="592BC113" w:rsidR="001463D0" w:rsidRPr="0005168A" w:rsidRDefault="0005168A" w:rsidP="0005168A">
    <w:pPr>
      <w:pStyle w:val="Footer"/>
      <w:jc w:val="right"/>
      <w:rPr>
        <w:sz w:val="20"/>
      </w:rPr>
    </w:pPr>
    <w:r w:rsidRPr="0005168A">
      <w:rPr>
        <w:sz w:val="20"/>
      </w:rPr>
      <w:t>TPA Agreed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F137" w14:textId="77777777" w:rsidR="00533E55" w:rsidRDefault="00533E55" w:rsidP="001463D0">
      <w:r>
        <w:separator/>
      </w:r>
    </w:p>
  </w:footnote>
  <w:footnote w:type="continuationSeparator" w:id="0">
    <w:p w14:paraId="184E597F" w14:textId="77777777" w:rsidR="00533E55" w:rsidRDefault="00533E55" w:rsidP="0014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808"/>
    <w:multiLevelType w:val="hybridMultilevel"/>
    <w:tmpl w:val="FA8A0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60B38"/>
    <w:multiLevelType w:val="singleLevel"/>
    <w:tmpl w:val="743A41FA"/>
    <w:lvl w:ilvl="0">
      <w:numFmt w:val="bullet"/>
      <w:lvlText w:val=""/>
      <w:lvlJc w:val="left"/>
      <w:pPr>
        <w:tabs>
          <w:tab w:val="num" w:pos="927"/>
        </w:tabs>
        <w:ind w:left="720" w:hanging="153"/>
      </w:pPr>
      <w:rPr>
        <w:rFonts w:ascii="Symbol" w:hAnsi="Symbol" w:hint="default"/>
      </w:rPr>
    </w:lvl>
  </w:abstractNum>
  <w:abstractNum w:abstractNumId="2" w15:restartNumberingAfterBreak="0">
    <w:nsid w:val="308B7CD8"/>
    <w:multiLevelType w:val="singleLevel"/>
    <w:tmpl w:val="940297DC"/>
    <w:lvl w:ilvl="0">
      <w:numFmt w:val="bullet"/>
      <w:lvlText w:val=""/>
      <w:lvlJc w:val="left"/>
      <w:pPr>
        <w:tabs>
          <w:tab w:val="num" w:pos="567"/>
        </w:tabs>
        <w:ind w:left="567" w:hanging="567"/>
      </w:pPr>
      <w:rPr>
        <w:rFonts w:ascii="Symbol" w:hAnsi="Symbol" w:hint="default"/>
      </w:rPr>
    </w:lvl>
  </w:abstractNum>
  <w:abstractNum w:abstractNumId="3" w15:restartNumberingAfterBreak="0">
    <w:nsid w:val="3ED353D1"/>
    <w:multiLevelType w:val="hybridMultilevel"/>
    <w:tmpl w:val="55BC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87E2A"/>
    <w:multiLevelType w:val="hybridMultilevel"/>
    <w:tmpl w:val="9578AEE0"/>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79F61295"/>
    <w:multiLevelType w:val="hybridMultilevel"/>
    <w:tmpl w:val="3A4E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2"/>
    <w:rsid w:val="00016D47"/>
    <w:rsid w:val="0005168A"/>
    <w:rsid w:val="00082541"/>
    <w:rsid w:val="00090625"/>
    <w:rsid w:val="000A69F5"/>
    <w:rsid w:val="001026E9"/>
    <w:rsid w:val="001463D0"/>
    <w:rsid w:val="001748AC"/>
    <w:rsid w:val="00176853"/>
    <w:rsid w:val="001E0F58"/>
    <w:rsid w:val="00282806"/>
    <w:rsid w:val="002F0CFC"/>
    <w:rsid w:val="003273AA"/>
    <w:rsid w:val="003E62AA"/>
    <w:rsid w:val="00480322"/>
    <w:rsid w:val="00517A4C"/>
    <w:rsid w:val="00533E55"/>
    <w:rsid w:val="005D4A3E"/>
    <w:rsid w:val="006241CC"/>
    <w:rsid w:val="00643B86"/>
    <w:rsid w:val="006442A4"/>
    <w:rsid w:val="006A6ADA"/>
    <w:rsid w:val="00701F2F"/>
    <w:rsid w:val="00744F64"/>
    <w:rsid w:val="007555C4"/>
    <w:rsid w:val="007A07AA"/>
    <w:rsid w:val="009168CB"/>
    <w:rsid w:val="00993E59"/>
    <w:rsid w:val="00A552E1"/>
    <w:rsid w:val="00B11F0F"/>
    <w:rsid w:val="00B63DDC"/>
    <w:rsid w:val="00BA0A2C"/>
    <w:rsid w:val="00C46CED"/>
    <w:rsid w:val="00C47D16"/>
    <w:rsid w:val="00C95506"/>
    <w:rsid w:val="00CA0EC0"/>
    <w:rsid w:val="00CE324E"/>
    <w:rsid w:val="00D062BB"/>
    <w:rsid w:val="00DB0417"/>
    <w:rsid w:val="00EC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7BE7"/>
  <w15:chartTrackingRefBased/>
  <w15:docId w15:val="{F4BD033D-44AA-4752-8CE7-D931C143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22"/>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uiPriority w:val="9"/>
    <w:qFormat/>
    <w:rsid w:val="00CE32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2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0322"/>
    <w:pPr>
      <w:tabs>
        <w:tab w:val="right" w:leader="dot" w:pos="720"/>
        <w:tab w:val="left" w:pos="1440"/>
        <w:tab w:val="left" w:leader="dot" w:pos="9639"/>
      </w:tabs>
      <w:spacing w:before="120" w:after="120"/>
    </w:pPr>
    <w:rPr>
      <w:rFonts w:cs="Arial"/>
      <w:b/>
      <w:noProof/>
      <w:snapToGrid/>
    </w:rPr>
  </w:style>
  <w:style w:type="paragraph" w:styleId="TOC3">
    <w:name w:val="toc 3"/>
    <w:basedOn w:val="Normal"/>
    <w:next w:val="Normal"/>
    <w:autoRedefine/>
    <w:uiPriority w:val="39"/>
    <w:rsid w:val="00480322"/>
    <w:pPr>
      <w:tabs>
        <w:tab w:val="left" w:leader="dot" w:pos="720"/>
        <w:tab w:val="left" w:pos="1920"/>
        <w:tab w:val="left" w:pos="2375"/>
        <w:tab w:val="left" w:pos="9639"/>
      </w:tabs>
      <w:spacing w:before="120" w:after="120"/>
      <w:ind w:left="993" w:right="-143"/>
    </w:pPr>
    <w:rPr>
      <w:snapToGrid/>
    </w:rPr>
  </w:style>
  <w:style w:type="character" w:styleId="Hyperlink">
    <w:name w:val="Hyperlink"/>
    <w:rsid w:val="00480322"/>
    <w:rPr>
      <w:color w:val="0000FF"/>
      <w:u w:val="single"/>
    </w:rPr>
  </w:style>
  <w:style w:type="paragraph" w:styleId="TOC4">
    <w:name w:val="toc 4"/>
    <w:basedOn w:val="Normal"/>
    <w:next w:val="Normal"/>
    <w:autoRedefine/>
    <w:uiPriority w:val="39"/>
    <w:rsid w:val="00480322"/>
    <w:pPr>
      <w:tabs>
        <w:tab w:val="right" w:leader="dot" w:pos="9781"/>
      </w:tabs>
      <w:ind w:left="1440"/>
    </w:pPr>
  </w:style>
  <w:style w:type="character" w:styleId="CommentReference">
    <w:name w:val="annotation reference"/>
    <w:semiHidden/>
    <w:rsid w:val="00480322"/>
    <w:rPr>
      <w:sz w:val="16"/>
      <w:szCs w:val="16"/>
    </w:rPr>
  </w:style>
  <w:style w:type="paragraph" w:styleId="CommentText">
    <w:name w:val="annotation text"/>
    <w:basedOn w:val="Normal"/>
    <w:link w:val="CommentTextChar"/>
    <w:semiHidden/>
    <w:rsid w:val="00480322"/>
    <w:rPr>
      <w:sz w:val="20"/>
    </w:rPr>
  </w:style>
  <w:style w:type="character" w:customStyle="1" w:styleId="CommentTextChar">
    <w:name w:val="Comment Text Char"/>
    <w:basedOn w:val="DefaultParagraphFont"/>
    <w:link w:val="CommentText"/>
    <w:semiHidden/>
    <w:rsid w:val="00480322"/>
    <w:rPr>
      <w:rFonts w:ascii="Arial" w:eastAsia="Times New Roman" w:hAnsi="Arial" w:cs="Times New Roman"/>
      <w:snapToGrid w:val="0"/>
      <w:sz w:val="20"/>
      <w:szCs w:val="20"/>
      <w:lang w:val="en-US"/>
    </w:rPr>
  </w:style>
  <w:style w:type="paragraph" w:styleId="BalloonText">
    <w:name w:val="Balloon Text"/>
    <w:basedOn w:val="Normal"/>
    <w:link w:val="BalloonTextChar"/>
    <w:uiPriority w:val="99"/>
    <w:semiHidden/>
    <w:unhideWhenUsed/>
    <w:rsid w:val="00480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22"/>
    <w:rPr>
      <w:rFonts w:ascii="Segoe UI" w:eastAsia="Times New Roman" w:hAnsi="Segoe UI" w:cs="Segoe UI"/>
      <w:snapToGrid w:val="0"/>
      <w:sz w:val="18"/>
      <w:szCs w:val="18"/>
      <w:lang w:val="en-US"/>
    </w:rPr>
  </w:style>
  <w:style w:type="paragraph" w:styleId="Header">
    <w:name w:val="header"/>
    <w:basedOn w:val="Normal"/>
    <w:link w:val="HeaderChar"/>
    <w:uiPriority w:val="99"/>
    <w:unhideWhenUsed/>
    <w:rsid w:val="001463D0"/>
    <w:pPr>
      <w:tabs>
        <w:tab w:val="center" w:pos="4513"/>
        <w:tab w:val="right" w:pos="9026"/>
      </w:tabs>
    </w:pPr>
  </w:style>
  <w:style w:type="character" w:customStyle="1" w:styleId="HeaderChar">
    <w:name w:val="Header Char"/>
    <w:basedOn w:val="DefaultParagraphFont"/>
    <w:link w:val="Header"/>
    <w:uiPriority w:val="99"/>
    <w:rsid w:val="001463D0"/>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1463D0"/>
    <w:pPr>
      <w:tabs>
        <w:tab w:val="center" w:pos="4513"/>
        <w:tab w:val="right" w:pos="9026"/>
      </w:tabs>
    </w:pPr>
  </w:style>
  <w:style w:type="character" w:customStyle="1" w:styleId="FooterChar">
    <w:name w:val="Footer Char"/>
    <w:basedOn w:val="DefaultParagraphFont"/>
    <w:link w:val="Footer"/>
    <w:uiPriority w:val="99"/>
    <w:rsid w:val="001463D0"/>
    <w:rPr>
      <w:rFonts w:ascii="Arial" w:eastAsia="Times New Roman" w:hAnsi="Arial" w:cs="Times New Roman"/>
      <w:snapToGrid w:val="0"/>
      <w:sz w:val="24"/>
      <w:szCs w:val="20"/>
      <w:lang w:val="en-US"/>
    </w:rPr>
  </w:style>
  <w:style w:type="character" w:customStyle="1" w:styleId="Heading1Char">
    <w:name w:val="Heading 1 Char"/>
    <w:basedOn w:val="DefaultParagraphFont"/>
    <w:link w:val="Heading1"/>
    <w:uiPriority w:val="9"/>
    <w:rsid w:val="00CE324E"/>
    <w:rPr>
      <w:rFonts w:asciiTheme="majorHAnsi" w:eastAsiaTheme="majorEastAsia" w:hAnsiTheme="majorHAnsi" w:cstheme="majorBidi"/>
      <w:snapToGrid w:val="0"/>
      <w:color w:val="2F5496" w:themeColor="accent1" w:themeShade="BF"/>
      <w:sz w:val="32"/>
      <w:szCs w:val="32"/>
      <w:lang w:val="en-US"/>
    </w:rPr>
  </w:style>
  <w:style w:type="character" w:customStyle="1" w:styleId="Heading2Char">
    <w:name w:val="Heading 2 Char"/>
    <w:basedOn w:val="DefaultParagraphFont"/>
    <w:link w:val="Heading2"/>
    <w:uiPriority w:val="9"/>
    <w:rsid w:val="00CE324E"/>
    <w:rPr>
      <w:rFonts w:asciiTheme="majorHAnsi" w:eastAsiaTheme="majorEastAsia" w:hAnsiTheme="majorHAnsi" w:cstheme="majorBidi"/>
      <w:snapToGrid w:val="0"/>
      <w:color w:val="2F5496" w:themeColor="accent1" w:themeShade="BF"/>
      <w:sz w:val="26"/>
      <w:szCs w:val="26"/>
      <w:lang w:val="en-US"/>
    </w:rPr>
  </w:style>
  <w:style w:type="paragraph" w:styleId="TOC2">
    <w:name w:val="toc 2"/>
    <w:basedOn w:val="Normal"/>
    <w:next w:val="Normal"/>
    <w:autoRedefine/>
    <w:uiPriority w:val="39"/>
    <w:unhideWhenUsed/>
    <w:rsid w:val="00CE324E"/>
    <w:pPr>
      <w:spacing w:after="100"/>
      <w:ind w:left="240"/>
    </w:pPr>
  </w:style>
  <w:style w:type="character" w:styleId="FollowedHyperlink">
    <w:name w:val="FollowedHyperlink"/>
    <w:basedOn w:val="DefaultParagraphFont"/>
    <w:uiPriority w:val="99"/>
    <w:semiHidden/>
    <w:unhideWhenUsed/>
    <w:rsid w:val="00D062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55C4"/>
    <w:rPr>
      <w:b/>
      <w:bCs/>
    </w:rPr>
  </w:style>
  <w:style w:type="character" w:customStyle="1" w:styleId="CommentSubjectChar">
    <w:name w:val="Comment Subject Char"/>
    <w:basedOn w:val="CommentTextChar"/>
    <w:link w:val="CommentSubject"/>
    <w:uiPriority w:val="99"/>
    <w:semiHidden/>
    <w:rsid w:val="007555C4"/>
    <w:rPr>
      <w:rFonts w:ascii="Arial" w:eastAsia="Times New Roman" w:hAnsi="Arial" w:cs="Times New Roman"/>
      <w:b/>
      <w:bCs/>
      <w:snapToGrid w:val="0"/>
      <w:sz w:val="20"/>
      <w:szCs w:val="20"/>
      <w:lang w:val="en-US"/>
    </w:rPr>
  </w:style>
  <w:style w:type="paragraph" w:styleId="Revision">
    <w:name w:val="Revision"/>
    <w:hidden/>
    <w:uiPriority w:val="99"/>
    <w:semiHidden/>
    <w:rsid w:val="005D4A3E"/>
    <w:pPr>
      <w:spacing w:after="0" w:line="240" w:lineRule="auto"/>
    </w:pPr>
    <w:rPr>
      <w:rFonts w:ascii="Arial" w:eastAsia="Times New Roman" w:hAnsi="Arial"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early-career-teachers-engl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6CBF-8F08-4FF2-A1D3-070EE6E7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Evans</dc:creator>
  <cp:keywords/>
  <dc:description/>
  <cp:lastModifiedBy>Evans, Fiona</cp:lastModifiedBy>
  <cp:revision>9</cp:revision>
  <dcterms:created xsi:type="dcterms:W3CDTF">2022-01-06T10:48:00Z</dcterms:created>
  <dcterms:modified xsi:type="dcterms:W3CDTF">2022-01-07T12:38:00Z</dcterms:modified>
</cp:coreProperties>
</file>